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22"/>
        <w:bidi w:val="0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iCs/>
          <w:sz w:val="20"/>
          <w:szCs w:val="20"/>
          <w:lang w:val="it-IT"/>
        </w:rPr>
        <w:t xml:space="preserve">All. </w:t>
      </w:r>
      <w:r>
        <w:rPr>
          <w:rFonts w:eastAsia="NSimSun" w:cs="Times New Roman" w:ascii="Arial" w:hAnsi="Arial"/>
          <w:b/>
          <w:iCs/>
          <w:color w:val="auto"/>
          <w:kern w:val="2"/>
          <w:sz w:val="20"/>
          <w:szCs w:val="20"/>
          <w:lang w:val="it-IT" w:eastAsia="zh-CN" w:bidi="hi-IN"/>
        </w:rPr>
        <w:t>6 – Lotto 2) Polizza RCTO</w:t>
      </w:r>
      <w:r>
        <w:rPr>
          <w:rFonts w:cs="Times New Roman" w:ascii="Arial" w:hAnsi="Arial"/>
          <w:b/>
          <w:iCs/>
          <w:sz w:val="20"/>
          <w:szCs w:val="20"/>
          <w:lang w:val="it-IT"/>
        </w:rPr>
        <w:t xml:space="preserve"> Modulo offerta tecnica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0"/>
          <w:szCs w:val="20"/>
          <w:lang w:val="it-IT"/>
        </w:rPr>
        <w:t>(da inserire nella busta “Offerta Tecnica”)</w:t>
      </w:r>
    </w:p>
    <w:p>
      <w:pPr>
        <w:pStyle w:val="Normal"/>
        <w:spacing w:lineRule="auto" w:line="276" w:before="0" w:after="113"/>
        <w:ind w:left="0" w:right="0" w:hanging="0"/>
        <w:jc w:val="both"/>
        <w:rPr/>
      </w:pPr>
      <w:r>
        <w:rPr>
          <w:rStyle w:val="Carpredefinitoparagrafo"/>
          <w:rFonts w:eastAsia="Times New Roman" w:cs="Times New Roman" w:ascii="Arial" w:hAnsi="Arial"/>
          <w:b/>
          <w:bCs/>
          <w:i w:val="false"/>
          <w:color w:val="000000"/>
          <w:sz w:val="20"/>
          <w:szCs w:val="20"/>
          <w:u w:val="none"/>
          <w:lang w:eastAsia="ar-SA"/>
        </w:rPr>
        <w:t>PROCEDURA APERTA MULTILOTTO SOTTO SOGLIA COMUNITARIA AI SENSI DELL'ART. 71 DEL D. LGS. N. 36/2023 PER L‘AFFIDAMENTO IN APPALTO DEI SERVIZI ASSICURATIVI ALL RISK'S, RCT/RCO E LIBRO MATRICOLA RCA DEL COMUNE DI CATTOLICA PER IL PERIODO 31/12/2025-31/12/2028 CON FACOLTÀ DI RINNOVO PER ULTERIORI 36 MESI</w:t>
      </w:r>
    </w:p>
    <w:p>
      <w:pPr>
        <w:pStyle w:val="Sche22"/>
        <w:spacing w:lineRule="auto" w:line="276" w:before="0" w:after="0"/>
        <w:ind w:left="6372" w:right="0" w:hanging="0"/>
        <w:jc w:val="left"/>
        <w:rPr>
          <w:rFonts w:ascii="Times New Roman" w:hAnsi="Times New Roman" w:cs="Times New Roman"/>
          <w:b/>
          <w:b/>
          <w:bCs/>
          <w:sz w:val="22"/>
          <w:szCs w:val="22"/>
          <w:lang w:val="it-IT"/>
        </w:rPr>
      </w:pPr>
      <w:r>
        <w:rPr>
          <w:rFonts w:cs="Times New Roman" w:ascii="Arial" w:hAnsi="Arial"/>
          <w:b/>
          <w:bCs/>
          <w:sz w:val="20"/>
          <w:szCs w:val="20"/>
          <w:lang w:val="it-IT"/>
        </w:rPr>
        <w:t>Comune di Cattolica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/>
          <w:bCs/>
          <w:sz w:val="22"/>
          <w:szCs w:val="22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>SETTORE 1</w:t>
      </w:r>
    </w:p>
    <w:p>
      <w:pPr>
        <w:pStyle w:val="Sche23"/>
        <w:spacing w:lineRule="auto" w:line="276" w:before="0" w:after="0"/>
        <w:ind w:left="5664" w:right="0" w:firstLine="708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Arial" w:hAnsi="Arial"/>
          <w:sz w:val="20"/>
          <w:szCs w:val="20"/>
          <w:lang w:val="it-IT"/>
        </w:rPr>
        <w:t>Piazza Roosevelt n. 7</w:t>
      </w:r>
    </w:p>
    <w:p>
      <w:pPr>
        <w:pStyle w:val="Sche23"/>
        <w:suppressAutoHyphens w:val="false"/>
        <w:spacing w:lineRule="auto" w:line="276" w:before="0" w:after="170"/>
        <w:ind w:left="5664" w:right="0" w:firstLine="708"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Style w:val="Carpredefinitoparagrafo"/>
          <w:rFonts w:eastAsia="Times New Roman" w:cs="Times New Roman" w:ascii="Arial" w:hAnsi="Arial"/>
          <w:b/>
          <w:bCs/>
          <w:i w:val="false"/>
          <w:color w:val="000000"/>
          <w:kern w:val="0"/>
          <w:sz w:val="20"/>
          <w:szCs w:val="20"/>
          <w:u w:val="single"/>
          <w:lang w:val="it-IT" w:eastAsia="it-IT" w:bidi="ar-SA"/>
        </w:rPr>
        <w:t>47841 CATTOLICA (RN)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0"/>
          <w:szCs w:val="20"/>
          <w:u w:val="none"/>
        </w:rPr>
        <w:t xml:space="preserve">DICHIARAZIONE DI ACCETTAZIONE </w:t>
      </w:r>
      <w:r>
        <w:rPr>
          <w:rFonts w:ascii="Arial" w:hAnsi="Arial"/>
          <w:b/>
          <w:bCs/>
          <w:sz w:val="20"/>
          <w:szCs w:val="20"/>
          <w:u w:val="none"/>
          <w:lang w:eastAsia="it-IT"/>
        </w:rPr>
        <w:t xml:space="preserve">DEL CAPITOLATO </w:t>
      </w:r>
      <w:r>
        <w:rPr>
          <w:rStyle w:val="Carpredefinitoparagrafo"/>
          <w:rFonts w:eastAsia="Times New Roman" w:cs="Times New Roman" w:ascii="Arial" w:hAnsi="Arial"/>
          <w:b/>
          <w:bCs/>
          <w:i w:val="false"/>
          <w:color w:val="000000"/>
          <w:kern w:val="0"/>
          <w:sz w:val="20"/>
          <w:szCs w:val="20"/>
          <w:u w:val="none"/>
          <w:lang w:val="it-IT" w:eastAsia="it-IT" w:bidi="ar-SA"/>
        </w:rPr>
        <w:t>O DI PROPOSTA VARIANTI</w:t>
      </w:r>
      <w:bookmarkStart w:id="0" w:name="_Hlk195615562"/>
      <w:bookmarkEnd w:id="0"/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1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sottoscritto/i (</w:t>
      </w:r>
      <w:r>
        <w:rPr>
          <w:rFonts w:cs="Arial" w:ascii="Arial" w:hAnsi="Arial"/>
          <w:i/>
          <w:iCs/>
          <w:sz w:val="20"/>
          <w:szCs w:val="20"/>
        </w:rPr>
        <w:t>inserire i dati relativi a ciascun sottoscrittore)…………………………………...........................................……</w:t>
      </w:r>
      <w:r>
        <w:rPr>
          <w:rFonts w:eastAsia="Times New Roman" w:cs="Tahoma" w:ascii="Arial" w:hAnsi="Arial"/>
          <w:iCs/>
          <w:sz w:val="20"/>
          <w:szCs w:val="20"/>
        </w:rPr>
        <w:t>.......................................................</w:t>
      </w:r>
      <w:r>
        <w:rPr>
          <w:rFonts w:eastAsia="Times New Roman" w:cs="Arial" w:ascii="Arial" w:hAnsi="Arial"/>
          <w:iCs/>
          <w:sz w:val="20"/>
          <w:szCs w:val="20"/>
        </w:rPr>
        <w:t>……………...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nato a </w:t>
      </w:r>
      <w:r>
        <w:rPr>
          <w:rFonts w:eastAsia="Times New Roman" w:cs="Tahoma" w:ascii="Arial" w:hAnsi="Arial"/>
          <w:sz w:val="20"/>
          <w:szCs w:val="20"/>
        </w:rPr>
        <w:t>………………….………………………………………… ……….(……) il …………………………..…………</w:t>
      </w:r>
    </w:p>
    <w:p>
      <w:pPr>
        <w:pStyle w:val="Titolo4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nella sua qualità di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………………….……………………………………. …………………………...</w:t>
      </w:r>
      <w:r>
        <w:rPr>
          <w:b w:val="false"/>
          <w:bCs w:val="false"/>
          <w:sz w:val="20"/>
          <w:szCs w:val="20"/>
        </w:rPr>
        <w:t xml:space="preserve">(carica sociale) </w:t>
      </w:r>
    </w:p>
    <w:p>
      <w:pPr>
        <w:pStyle w:val="Titolo4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b w:val="false"/>
          <w:bCs w:val="false"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>eventualmente</w:t>
      </w:r>
      <w:r>
        <w:rPr>
          <w:b w:val="false"/>
          <w:bCs w:val="false"/>
          <w:sz w:val="20"/>
          <w:szCs w:val="20"/>
        </w:rPr>
        <w:t xml:space="preserve">) giusta procura generale/speciale n. rep. </w:t>
      </w:r>
      <w:r>
        <w:rPr>
          <w:rFonts w:eastAsia="Times New Roman" w:cs="Tahoma"/>
          <w:b w:val="false"/>
          <w:bCs w:val="false"/>
          <w:sz w:val="20"/>
          <w:szCs w:val="20"/>
        </w:rPr>
        <w:t xml:space="preserve">…………………… </w:t>
      </w:r>
      <w:r>
        <w:rPr>
          <w:b w:val="false"/>
          <w:bCs w:val="false"/>
          <w:sz w:val="20"/>
          <w:szCs w:val="20"/>
        </w:rPr>
        <w:t xml:space="preserve">del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…………………………</w:t>
      </w:r>
      <w:r>
        <w:rPr>
          <w:b w:val="false"/>
          <w:bCs w:val="false"/>
          <w:sz w:val="20"/>
          <w:szCs w:val="20"/>
        </w:rPr>
        <w:t xml:space="preserve"> della società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………………….………………………………………………………….…………………..</w:t>
      </w:r>
      <w:r>
        <w:rPr>
          <w:b w:val="false"/>
          <w:bCs w:val="false"/>
          <w:sz w:val="20"/>
          <w:szCs w:val="20"/>
        </w:rPr>
        <w:t xml:space="preserve"> con sede legale </w:t>
      </w:r>
      <w:r>
        <w:rPr>
          <w:rFonts w:eastAsia="Times New Roman" w:cs="Tahoma"/>
          <w:b w:val="false"/>
          <w:bCs w:val="false"/>
          <w:sz w:val="20"/>
          <w:szCs w:val="20"/>
        </w:rPr>
        <w:t xml:space="preserve">………………….……………………………………. ……………………………………….. </w:t>
      </w:r>
      <w:r>
        <w:rPr>
          <w:b w:val="false"/>
          <w:bCs w:val="false"/>
          <w:sz w:val="20"/>
          <w:szCs w:val="20"/>
        </w:rPr>
        <w:t xml:space="preserve">con sede operativa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………………….……………………………………. …………………..</w:t>
      </w:r>
      <w:r>
        <w:rPr>
          <w:b w:val="false"/>
          <w:bCs w:val="false"/>
          <w:sz w:val="20"/>
          <w:szCs w:val="20"/>
        </w:rPr>
        <w:t xml:space="preserve"> con C.F. n.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………………………………</w:t>
      </w:r>
      <w:r>
        <w:rPr>
          <w:b w:val="false"/>
          <w:bCs w:val="false"/>
          <w:sz w:val="20"/>
          <w:szCs w:val="20"/>
        </w:rPr>
        <w:t xml:space="preserve"> con P.I. </w:t>
      </w:r>
      <w:r>
        <w:rPr>
          <w:rFonts w:eastAsia="Times New Roman" w:cs="Tahoma"/>
          <w:b w:val="false"/>
          <w:bCs w:val="false"/>
          <w:sz w:val="20"/>
          <w:szCs w:val="20"/>
        </w:rPr>
        <w:t>………………………………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Arial"/>
          <w:b w:val="false"/>
          <w:bCs w:val="false"/>
          <w:sz w:val="20"/>
          <w:szCs w:val="20"/>
        </w:rPr>
        <w:t xml:space="preserve">PEC </w:t>
      </w:r>
      <w:r>
        <w:rPr>
          <w:rFonts w:eastAsia="Times New Roman" w:cs="Tahoma"/>
          <w:b w:val="false"/>
          <w:bCs w:val="false"/>
          <w:sz w:val="20"/>
          <w:szCs w:val="20"/>
        </w:rPr>
        <w:t xml:space="preserve">…………………………………….…………... </w:t>
      </w:r>
      <w:r>
        <w:rPr>
          <w:rFonts w:eastAsia="Times New Roman" w:cs="Arial"/>
          <w:b w:val="false"/>
          <w:bCs w:val="false"/>
          <w:sz w:val="20"/>
          <w:szCs w:val="20"/>
        </w:rPr>
        <w:t xml:space="preserve"> E-MAIL ………………………………………………. </w:t>
      </w:r>
      <w:r>
        <w:rPr>
          <w:rFonts w:eastAsia="Times New Roman" w:cs="Arial"/>
          <w:b w:val="false"/>
          <w:bCs w:val="false"/>
          <w:i/>
          <w:iCs/>
          <w:sz w:val="20"/>
          <w:szCs w:val="20"/>
        </w:rPr>
        <w:t xml:space="preserve">Telefono </w:t>
      </w:r>
      <w:r>
        <w:rPr>
          <w:rFonts w:eastAsia="Times New Roman" w:cs="Tahoma"/>
          <w:b w:val="false"/>
          <w:bCs w:val="false"/>
          <w:i/>
          <w:iCs/>
          <w:sz w:val="20"/>
          <w:szCs w:val="20"/>
        </w:rPr>
        <w:t>………………………………</w:t>
      </w:r>
      <w:r>
        <w:rPr>
          <w:rFonts w:cs="Arial"/>
          <w:b w:val="false"/>
          <w:bCs w:val="false"/>
          <w:i/>
          <w:iCs/>
          <w:sz w:val="20"/>
          <w:szCs w:val="20"/>
        </w:rPr>
        <w:t xml:space="preserve"> (si prega di riportare recapito telefonico dell’ufficio e/o referente preposto alla gestione della presente gara) </w:t>
      </w:r>
      <w:r>
        <w:rPr>
          <w:rFonts w:cs="Arial"/>
          <w:b w:val="false"/>
          <w:bCs w:val="false"/>
          <w:sz w:val="20"/>
          <w:szCs w:val="20"/>
        </w:rPr>
        <w:t>per la partecipazione al Lotto 2 Polizza RCTO</w:t>
      </w:r>
    </w:p>
    <w:p>
      <w:pPr>
        <w:pStyle w:val="Normal"/>
        <w:keepNext w:val="true"/>
        <w:numPr>
          <w:ilvl w:val="0"/>
          <w:numId w:val="0"/>
        </w:numPr>
        <w:spacing w:before="120" w:after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"/>
        <w:spacing w:before="0" w:after="170"/>
        <w:jc w:val="center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0"/>
          <w:szCs w:val="20"/>
        </w:rPr>
        <w:t>(barrare la casella che interessa)</w:t>
      </w:r>
    </w:p>
    <w:p>
      <w:pPr>
        <w:pStyle w:val="Normal"/>
        <w:tabs>
          <w:tab w:val="clear" w:pos="709"/>
          <w:tab w:val="left" w:pos="72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Arial" w:hAnsi="Arial"/>
          <w:sz w:val="20"/>
          <w:szCs w:val="20"/>
        </w:rPr>
        <w:t>□</w:t>
      </w:r>
      <w:r>
        <w:rPr>
          <w:rFonts w:eastAsia="Wingdings" w:cs="Wingdings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accettare integralmente il Capitolato Tecnico così come proposto dalla Stazione appaltante;</w:t>
      </w:r>
    </w:p>
    <w:p>
      <w:pPr>
        <w:pStyle w:val="Normal"/>
        <w:tabs>
          <w:tab w:val="clear" w:pos="709"/>
          <w:tab w:val="left" w:pos="7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OPPURE:</w:t>
      </w:r>
    </w:p>
    <w:p>
      <w:pPr>
        <w:pStyle w:val="Normal"/>
        <w:tabs>
          <w:tab w:val="clear" w:pos="709"/>
          <w:tab w:val="left" w:pos="720" w:leader="none"/>
        </w:tabs>
        <w:jc w:val="both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□</w:t>
      </w:r>
      <w:r>
        <w:rPr>
          <w:rFonts w:eastAsia="Wingdings" w:cs="Wingdings" w:ascii="Arial" w:hAnsi="Arial"/>
          <w:sz w:val="20"/>
          <w:szCs w:val="20"/>
        </w:rPr>
        <w:t xml:space="preserve">  </w:t>
      </w:r>
      <w:r>
        <w:rPr>
          <w:rFonts w:eastAsia="Wingdings" w:cs="Arial" w:ascii="Arial" w:hAnsi="Arial"/>
          <w:sz w:val="20"/>
          <w:szCs w:val="20"/>
        </w:rPr>
        <w:t xml:space="preserve">di apportare varianti tabellari proposte dall’offerente e dichiara il possesso o meno della certificazione di parità di genere, come da Modello Allegato </w:t>
      </w:r>
      <w:r>
        <w:rPr>
          <w:rFonts w:eastAsia="Wingdings" w:cs="Arial" w:ascii="Arial" w:hAnsi="Arial"/>
          <w:color w:val="auto"/>
          <w:kern w:val="0"/>
          <w:sz w:val="20"/>
          <w:szCs w:val="20"/>
          <w:lang w:val="it-IT" w:eastAsia="en-US" w:bidi="ar-SA"/>
        </w:rPr>
        <w:t>1</w:t>
      </w:r>
      <w:r>
        <w:rPr>
          <w:rFonts w:eastAsia="Wingdings" w:cs="Arial" w:ascii="Arial" w:hAnsi="Arial"/>
          <w:sz w:val="20"/>
          <w:szCs w:val="20"/>
        </w:rPr>
        <w:t>;</w:t>
      </w:r>
    </w:p>
    <w:p>
      <w:pPr>
        <w:pStyle w:val="Normal"/>
        <w:numPr>
          <w:ilvl w:val="0"/>
          <w:numId w:val="0"/>
        </w:numPr>
        <w:spacing w:before="0" w:after="227"/>
        <w:outlineLvl w:val="1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EB2FBBA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8180" cy="1270"/>
                <wp:effectExtent l="0" t="0" r="0" b="0"/>
                <wp:wrapNone/>
                <wp:docPr id="1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45pt,12.15pt" to="242.75pt,12.15pt" ID="Connettore diritto 1" stroked="t" style="position:absolute" wp14:anchorId="0EB2FBB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Luogo e Data                                                                </w:t>
      </w:r>
    </w:p>
    <w:p>
      <w:pPr>
        <w:pStyle w:val="Normal"/>
        <w:numPr>
          <w:ilvl w:val="0"/>
          <w:numId w:val="0"/>
        </w:numPr>
        <w:spacing w:before="0" w:after="0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In caso di Coassicurazione, la presente deve essere sottoscritta dalla delegataria e dalla delegante.</w:t>
      </w:r>
    </w:p>
    <w:p>
      <w:pPr>
        <w:pStyle w:val="Normal"/>
        <w:numPr>
          <w:ilvl w:val="0"/>
          <w:numId w:val="0"/>
        </w:numPr>
        <w:spacing w:before="0" w:after="227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In caso di R.T.I. la presente deve essere sottoscritta da ogni singola impresa facente parte del raggruppamento.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Arial" w:hAnsi="Arial"/>
          <w:i/>
          <w:iCs/>
          <w:sz w:val="20"/>
          <w:szCs w:val="20"/>
        </w:rPr>
        <w:t>FIRMARE DIGITALMENTE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Lotto 2 - Polizza RCTO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i w:val="false"/>
          <w:iCs w:val="false"/>
          <w:sz w:val="20"/>
          <w:szCs w:val="20"/>
          <w:lang w:eastAsia="it-IT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iCs w:val="false"/>
          <w:sz w:val="20"/>
          <w:szCs w:val="20"/>
          <w:lang w:eastAsia="it-IT"/>
        </w:rPr>
        <w:t>PROPOSTA DI VARIANTI MIGLIORATIVE TABELLARI E DICHIARAZIONE POSSESSO CERTIFICAZIONE PARITÀ DI GENERE - Modello allegato 1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1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</w:rPr>
        <w:t>DICHIARA DI PROPORRE LE SEGUENTI VARIANTI MIGLIORATIVE DISCREZIONALI AL CAPITOLATO TECNICO E DI POSSEDERE, O MENO, LA CERTIFICAZIONE DI PARITÀ DI GENERE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center"/>
        <w:outlineLvl w:val="1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5491"/>
        <w:gridCol w:w="1835"/>
        <w:gridCol w:w="1835"/>
      </w:tblGrid>
      <w:tr>
        <w:trPr>
          <w:trHeight w:val="567" w:hRule="atLeast"/>
          <w:cantSplit w:val="true"/>
        </w:trPr>
        <w:tc>
          <w:tcPr>
            <w:tcW w:w="5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NUMERO E DESCRIZIONE VARIANTI MIGLIORATIVE – CRITERIO TABELLARE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Punteggio in aumento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Selezionare con (X) la variante prescelta</w:t>
            </w:r>
          </w:p>
        </w:tc>
      </w:tr>
      <w:tr>
        <w:trPr>
          <w:trHeight w:val="923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Sez. III Art. 2 RECESSO ANTICIPATO ANNUALE</w:t>
            </w:r>
          </w:p>
          <w:p>
            <w:pPr>
              <w:pStyle w:val="Normal"/>
              <w:tabs>
                <w:tab w:val="clear" w:pos="709"/>
                <w:tab w:val="left" w:pos="3645" w:leader="none"/>
              </w:tabs>
              <w:jc w:val="both"/>
              <w:rPr>
                <w:rFonts w:ascii="Calibri" w:hAnsi="Calibri"/>
              </w:rPr>
            </w:pPr>
            <w:r>
              <w:rPr>
                <w:rFonts w:eastAsia="Calibri"/>
                <w:sz w:val="18"/>
                <w:szCs w:val="18"/>
              </w:rPr>
              <w:t>Eliminazione della facoltà da parte della Compagnia di recedere dalla polizza a ogni scadenza anniversaria mediante lettera raccomandata o posta elettronica certificata (PEC) da inviarsi in firma digitale almeno 3 mesi prima di ogni scadenza annuale.</w:t>
            </w:r>
          </w:p>
          <w:p>
            <w:pPr>
              <w:pStyle w:val="Normal"/>
              <w:tabs>
                <w:tab w:val="clear" w:pos="709"/>
                <w:tab w:val="left" w:pos="3645" w:leader="none"/>
              </w:tabs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i/>
                <w:iCs/>
                <w:sz w:val="18"/>
                <w:szCs w:val="18"/>
              </w:rPr>
              <w:t>Resta ferma tale facoltà per il Contraente.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bookmarkStart w:id="1" w:name="_Hlk7621704"/>
            <w:bookmarkEnd w:id="1"/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923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both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1133" w:hRule="atLeast"/>
          <w:cantSplit w:val="true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Sez. IV Art. 23) MALATTIE PROFESSIONALI (in capitolato termini temporali 18 mesi)</w:t>
            </w:r>
          </w:p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sz w:val="18"/>
                <w:szCs w:val="18"/>
              </w:rPr>
              <w:t>Estensione termini temporali da 18 a: 24 MESI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1133" w:hRule="atLeast"/>
          <w:cantSplit w:val="true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713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Sez. IV Art. 23) MALATTIE PROFESSIONALI </w:t>
            </w:r>
            <w:r>
              <w:rPr>
                <w:rFonts w:eastAsia="Calibri"/>
                <w:bCs/>
                <w:sz w:val="18"/>
                <w:szCs w:val="18"/>
              </w:rPr>
              <w:t>Eliminazione dell’esclusione “(…) danni derivanti da mobbing, da bossing”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713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4245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SEZ. V - ESCLUSIONI lett. j):</w:t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Eliminazione dell'esclusione “di terrorismo e di sabotaggio”</w:t>
            </w:r>
            <w:r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e inserimento dell’articolo TERRORISMO E SABOTAGGIO:</w:t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ART. TERRORISMO E SABOTAGGIO</w:t>
            </w:r>
            <w:r>
              <w:rPr>
                <w:rFonts w:eastAsia="Calibri"/>
                <w:bCs/>
                <w:i/>
                <w:iCs/>
                <w:sz w:val="18"/>
                <w:szCs w:val="18"/>
              </w:rPr>
              <w:t>:</w:t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A parziale deroga dell’articolo ESCLUSIONI, la Società si obbliga a tenere indenne l’assicurato di quanto questi sia tenuto a pagare, a titolo di risarcimento, quale civilmente responsabile ai sensi di legge, per danni corporali e materiali involontariamente cagionati a terzi e/o prestatori di lavoro del cui operato si avvalga, in relazione ad atti di terrorismo o sabotaggio.</w:t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A maggior chiarimento e/o integrazione di quanto previsto in atti, si precisa che la presente garanzia non opera per:</w:t>
            </w:r>
          </w:p>
          <w:p>
            <w:pPr>
              <w:pStyle w:val="ListParagraph"/>
              <w:numPr>
                <w:ilvl w:val="1"/>
                <w:numId w:val="1"/>
              </w:numPr>
              <w:suppressAutoHyphens w:val="true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 xml:space="preserve">danni conseguenti a rilascio o esposizione di agenti chimici o biologici/batteriologici di qualsiasi tipo; </w:t>
            </w:r>
          </w:p>
          <w:p>
            <w:pPr>
              <w:pStyle w:val="ListParagraph"/>
              <w:numPr>
                <w:ilvl w:val="1"/>
                <w:numId w:val="1"/>
              </w:numPr>
              <w:suppressAutoHyphens w:val="true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 xml:space="preserve">danni conseguenti ad attacchi elettronici/informatici, tra cui "computer hacking" o "computer virus"; </w:t>
            </w:r>
          </w:p>
          <w:p>
            <w:pPr>
              <w:pStyle w:val="ListParagraph"/>
              <w:numPr>
                <w:ilvl w:val="1"/>
                <w:numId w:val="1"/>
              </w:numPr>
              <w:suppressAutoHyphens w:val="true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multe, penalità, danni a carattere punitivo o esemplare, nonché qualsiasi danno aggiuntivo risultante dalla moltiplicazione di danni compensativi;</w:t>
            </w:r>
          </w:p>
          <w:p>
            <w:pPr>
              <w:pStyle w:val="ListParagraph"/>
              <w:numPr>
                <w:ilvl w:val="1"/>
                <w:numId w:val="1"/>
              </w:numPr>
              <w:suppressAutoHyphens w:val="true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danni connessi a turbamenti mentali, angoscia o shock qualora ii soggetto reclamante non abbia riportato danni corporali.</w:t>
            </w:r>
          </w:p>
          <w:p>
            <w:pPr>
              <w:pStyle w:val="Normal"/>
              <w:jc w:val="both"/>
              <w:rPr>
                <w:rFonts w:ascii="Calibri" w:hAnsi="Calibri" w:eastAsia="Calibri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Ai fini della presente garanzia, una pluralità di atti commessi per i medesimi fini nell'arco di 72 ore sarà considerata un unico sinistro.</w:t>
            </w:r>
          </w:p>
          <w:p>
            <w:pPr>
              <w:pStyle w:val="Normal"/>
              <w:jc w:val="both"/>
              <w:rPr>
                <w:rFonts w:ascii="Calibri" w:hAnsi="Calibri" w:eastAsia="Calibri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Definizione di Terrorismo e Sabotaggio</w:t>
            </w:r>
          </w:p>
          <w:p>
            <w:pPr>
              <w:pStyle w:val="Normal"/>
              <w:jc w:val="both"/>
              <w:rPr>
                <w:rFonts w:ascii="Calibri" w:hAnsi="Calibri" w:eastAsia="Calibri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Qualsiasi azione violenta diretta ad influenzare qualsiasi governo e/o terrorizzare l’intera popolazione o una parte di essa, allo scopo di raggiungere un fine politico o religioso o ideologico o etnico, se tale azione non può essere definita come atto di guerra, invasione, atti di nemici stranieri, ostilità, guerra civile, ribellione, insurrezione, colpo di stato o confisca, nazionalizzazione, requisizione e distruzione o danno alla proprietà, causato da o per ordine di governi o autorità pubbliche o locali, o come atto avvenuto nel contesto di scioperi, sommosse, tumulti popolari o come atto vandalico.</w:t>
            </w:r>
          </w:p>
          <w:p>
            <w:pPr>
              <w:pStyle w:val="Normal"/>
              <w:jc w:val="both"/>
              <w:rPr>
                <w:rFonts w:ascii="Calibri" w:hAnsi="Calibri" w:eastAsia="Calibri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La garanzia è prestata con il massimo risarcimento di 1.000.000,00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113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La garanzia è prestata con il massimo risarcimento di 500.000,00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113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La garanzia è prestata con il massimo risarcimento di 250.000,00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113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1469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SEZ. VIII – art. 32 GESTIONE DELLE VERTENZE DI DANNO – SPESE LEGALI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Eliminazione degli incisi sotto indicati, riportati al secondo capoverso dell’art. 32: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i/>
                <w:iCs/>
                <w:sz w:val="18"/>
                <w:szCs w:val="18"/>
              </w:rPr>
              <w:t xml:space="preserve">Il Contraente/assicurato, </w:t>
            </w:r>
            <w:r>
              <w:rPr>
                <w:rFonts w:cs="Courier New"/>
                <w:i/>
                <w:iCs/>
                <w:strike/>
                <w:sz w:val="18"/>
                <w:szCs w:val="18"/>
              </w:rPr>
              <w:t>previo assenso della Società</w:t>
            </w:r>
            <w:r>
              <w:rPr>
                <w:rFonts w:cs="Courier New"/>
                <w:i/>
                <w:iCs/>
                <w:sz w:val="18"/>
                <w:szCs w:val="18"/>
              </w:rPr>
              <w:t xml:space="preserve">, ha facoltà di proporre e nominare un proprio legale di fiducia, da affiancare al legale eventualmente indicato dalla Società: in tal caso la Società, </w:t>
            </w:r>
            <w:r>
              <w:rPr>
                <w:rFonts w:cs="Courier New"/>
                <w:i/>
                <w:iCs/>
                <w:strike/>
                <w:sz w:val="18"/>
                <w:szCs w:val="18"/>
              </w:rPr>
              <w:t>accettata la designazione del legale di fiducia del Contraente/Assicurato</w:t>
            </w:r>
            <w:r>
              <w:rPr>
                <w:rFonts w:cs="Courier New"/>
                <w:i/>
                <w:iCs/>
                <w:sz w:val="18"/>
                <w:szCs w:val="18"/>
              </w:rPr>
              <w:t>, assumerà a proprio carico le relative spese in ogni grado di giudizio.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1469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455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 xml:space="preserve">SEZ IX, Art. 35 MASSIMALI, LIMITI DI INDENNIZZO, </w:t>
            </w:r>
            <w:r>
              <w:rPr>
                <w:rFonts w:cs="Courier New"/>
                <w:sz w:val="18"/>
                <w:szCs w:val="18"/>
              </w:rPr>
              <w:t>(in capitolato massimali RCT: € 15.000.000 per sinistro, € 15.000.000 per persona, € 15.000.000 per danni a cose – RCO: € 15.000.000 per sinistro e € 5.000.000 per ogni persona.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Aumento massimali ad €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 w:cs="Courier New"/>
                <w:bCs/>
                <w:sz w:val="18"/>
                <w:szCs w:val="18"/>
              </w:rPr>
            </w:pPr>
            <w:r>
              <w:rPr>
                <w:rFonts w:cs="Courier New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spacing w:before="12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RCT: 18.000.000 per sinistro, 18.000.000 per persona, 18.000.000 per danni a cose – RCO 18.000.000 per sinistro 7.000.000 per ogni persona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9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RCT: 16.500.000 per sinistro, 16.500.000 per persona, 16.500.000 per danni a cose – RCO 16.500.000 per sinistro 6.000.000 per ogni persona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9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SEZ IX, Art. 35 MASSIMALI LIMITI DI INDENNIZZO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Sez. VI - Art. 29 - </w:t>
            </w:r>
            <w:r>
              <w:rPr>
                <w:rFonts w:cs="Courier New"/>
                <w:sz w:val="18"/>
                <w:szCs w:val="18"/>
              </w:rPr>
              <w:t>Responsabilità da Incendio (in capitolato limite di indennizzo € 1.000.000,00)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Aumento limite ad € 2.000.000,00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Aumento limite ad € 1.500.000,00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SEZ IX, Art. 35 MASSIMALI LIMITI DI INDENNIZZO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Sez. VI - Art. 29 - </w:t>
            </w:r>
            <w:r>
              <w:rPr>
                <w:rFonts w:eastAsia="Calibri"/>
                <w:sz w:val="18"/>
                <w:szCs w:val="18"/>
              </w:rPr>
              <w:t xml:space="preserve">Danni da cedimento o franamento del terreno </w:t>
            </w:r>
            <w:r>
              <w:rPr>
                <w:rFonts w:cs="Courier New"/>
                <w:bCs/>
                <w:sz w:val="18"/>
                <w:szCs w:val="18"/>
              </w:rPr>
              <w:t>(in capitolato limite di indennizzo € 500.000,00)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Aumento limite ad € 1.500.000,00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Aumento limite ad € 1.000.000,00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SEZ IX, Art. 35 MASSIMALI LIMITI DI INDENNIZZO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Sez. VI – Art. 29 </w:t>
            </w:r>
            <w:r>
              <w:rPr>
                <w:rFonts w:eastAsia="Calibri"/>
                <w:sz w:val="18"/>
                <w:szCs w:val="18"/>
              </w:rPr>
              <w:t xml:space="preserve">Danni da interruzioni o sospensione di attività </w:t>
            </w:r>
            <w:r>
              <w:rPr>
                <w:rFonts w:cs="Courier New"/>
                <w:bCs/>
                <w:sz w:val="18"/>
                <w:szCs w:val="18"/>
              </w:rPr>
              <w:t>(in capitolato limite di indennizzo € 1.500.000,00)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Aumento limite ad € 2.000.000,00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Aumento limite ad € 1.750.000,00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SEZ IX, Art. 35 MASSIMALI LIMITI DI INDENNIZZO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Sez. VI - Art. 29) Acquedotti – Rete fognaria – Spargimento di acqua </w:t>
            </w:r>
            <w:r>
              <w:rPr>
                <w:rFonts w:cs="Courier New"/>
                <w:bCs/>
                <w:sz w:val="18"/>
                <w:szCs w:val="18"/>
              </w:rPr>
              <w:t>(in capitolato limite di indennizzo € 500.000,00)</w:t>
            </w:r>
          </w:p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Aumento limite ad € 1.500.000,00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0CECE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0CECE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>Aumento limite ad € 1.000.000,00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rFonts w:cs="Courier New"/>
                <w:sz w:val="18"/>
                <w:szCs w:val="18"/>
              </w:rPr>
              <w:t xml:space="preserve">Nessuna variazione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120" w:after="200"/>
              <w:ind w:left="34" w:hanging="0"/>
              <w:jc w:val="both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 xml:space="preserve">SEZ IX, </w:t>
            </w:r>
            <w:r>
              <w:rPr>
                <w:rFonts w:cs="Courier New"/>
                <w:b/>
                <w:bCs/>
                <w:sz w:val="18"/>
                <w:szCs w:val="18"/>
              </w:rPr>
              <w:t>Art. 35 MASSIMALI LIMITI DI INDENNIZZO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Sez. VI - Art. 29) </w:t>
            </w:r>
            <w:r>
              <w:rPr>
                <w:rFonts w:cs="Courier New"/>
                <w:bCs/>
                <w:sz w:val="18"/>
                <w:szCs w:val="18"/>
              </w:rPr>
              <w:t>Terremoto, esondazioni, alluvioni, inondazioni e calamità naturali</w:t>
            </w:r>
            <w:r>
              <w:rPr>
                <w:bCs/>
                <w:sz w:val="18"/>
                <w:szCs w:val="18"/>
              </w:rPr>
              <w:t xml:space="preserve"> (in capitolato limite di indennizzo € 500.000,00)</w:t>
            </w:r>
          </w:p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cs="Courier New"/>
                <w:bCs/>
                <w:sz w:val="18"/>
                <w:szCs w:val="18"/>
              </w:rPr>
              <w:t>Aumento limite ad € 1.500.000,00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Cs/>
                <w:sz w:val="18"/>
                <w:szCs w:val="18"/>
              </w:rPr>
              <w:t>Aumento limite ad € 1.000.000,00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Cs/>
                <w:sz w:val="18"/>
                <w:szCs w:val="18"/>
              </w:rPr>
              <w:t>Nessuna variazione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160" w:hRule="atLeast"/>
          <w:cantSplit w:val="true"/>
        </w:trPr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sz w:val="18"/>
                <w:szCs w:val="18"/>
              </w:rPr>
              <w:t>Possesso della certificazione della parità di genere di cui all'articolo 46-bis del decreto legislativo 198/2006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160" w:hRule="atLeast"/>
          <w:cantSplit w:val="true"/>
        </w:trPr>
        <w:tc>
          <w:tcPr>
            <w:tcW w:w="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</w:rPr>
            </w:pPr>
            <w:r>
              <w:rPr>
                <w:sz w:val="18"/>
                <w:szCs w:val="18"/>
              </w:rPr>
              <w:t>Mancato possesso della certificazione della parità di genere di cui all'articolo 46-bis del decreto legislativo 198/2006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Autospacing="1" w:after="20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center"/>
        <w:outlineLvl w:val="1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center"/>
        <w:outlineLvl w:val="1"/>
        <w:rPr/>
      </w:pPr>
      <w:r>
        <w:rPr/>
      </w:r>
    </w:p>
    <w:sectPr>
      <w:type w:val="nextPage"/>
      <w:pgSz w:w="11906" w:h="16838"/>
      <w:pgMar w:left="1134" w:right="1134" w:header="0" w:top="139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sz w:val="18"/>
        <w:b/>
        <w:rFonts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66f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cb791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356d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356d7"/>
    <w:rPr/>
  </w:style>
  <w:style w:type="character" w:styleId="Carpredefinitoparagrafo">
    <w:name w:val="Car. predefinito paragrafo"/>
    <w:qFormat/>
    <w:rPr/>
  </w:style>
  <w:style w:type="character" w:styleId="WWCharLFO31LVL9">
    <w:name w:val="WW_CharLFO31LVL9"/>
    <w:qFormat/>
    <w:rPr>
      <w:rFonts w:ascii="Wingdings" w:hAnsi="Wingdings"/>
    </w:rPr>
  </w:style>
  <w:style w:type="character" w:styleId="WWCharLFO31LVL8">
    <w:name w:val="WW_CharLFO31LVL8"/>
    <w:qFormat/>
    <w:rPr>
      <w:rFonts w:ascii="Courier New" w:hAnsi="Courier New" w:cs="Wingdings"/>
      <w:color w:val="000000"/>
      <w:sz w:val="22"/>
      <w:szCs w:val="22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5">
    <w:name w:val="WW_CharLFO31LVL5"/>
    <w:qFormat/>
    <w:rPr>
      <w:rFonts w:ascii="Courier New" w:hAnsi="Courier New" w:cs="Wingdings"/>
      <w:color w:val="000000"/>
      <w:sz w:val="22"/>
      <w:szCs w:val="22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2">
    <w:name w:val="WW_CharLFO31LVL2"/>
    <w:qFormat/>
    <w:rPr>
      <w:rFonts w:ascii="Courier New" w:hAnsi="Courier New" w:cs="Wingdings"/>
      <w:color w:val="000000"/>
      <w:sz w:val="22"/>
      <w:szCs w:val="22"/>
    </w:rPr>
  </w:style>
  <w:style w:type="character" w:styleId="WWCharLFO31LVL1">
    <w:name w:val="WW_CharLFO31LVL1"/>
    <w:qFormat/>
    <w:rPr>
      <w:rFonts w:ascii="Garamond" w:hAnsi="Garamond" w:cs="Times New Roman"/>
      <w:b/>
      <w:i/>
      <w:sz w:val="22"/>
      <w:szCs w:val="22"/>
    </w:rPr>
  </w:style>
  <w:style w:type="character" w:styleId="WWCharLFO43LVL9">
    <w:name w:val="WW_CharLFO43LVL9"/>
    <w:qFormat/>
    <w:rPr>
      <w:rFonts w:ascii="Wingdings" w:hAnsi="Wingdings"/>
    </w:rPr>
  </w:style>
  <w:style w:type="character" w:styleId="WWCharLFO43LVL8">
    <w:name w:val="WW_CharLFO43LVL8"/>
    <w:qFormat/>
    <w:rPr>
      <w:rFonts w:ascii="Courier New" w:hAnsi="Courier New" w:cs="Courier New"/>
    </w:rPr>
  </w:style>
  <w:style w:type="character" w:styleId="WWCharLFO43LVL7">
    <w:name w:val="WW_CharLFO43LVL7"/>
    <w:qFormat/>
    <w:rPr>
      <w:rFonts w:ascii="Symbol" w:hAnsi="Symbol"/>
    </w:rPr>
  </w:style>
  <w:style w:type="character" w:styleId="WWCharLFO43LVL6">
    <w:name w:val="WW_CharLFO43LVL6"/>
    <w:qFormat/>
    <w:rPr>
      <w:rFonts w:ascii="Wingdings" w:hAnsi="Wingdings"/>
    </w:rPr>
  </w:style>
  <w:style w:type="character" w:styleId="WWCharLFO43LVL5">
    <w:name w:val="WW_CharLFO43LVL5"/>
    <w:qFormat/>
    <w:rPr>
      <w:rFonts w:ascii="Courier New" w:hAnsi="Courier New" w:cs="Courier New"/>
    </w:rPr>
  </w:style>
  <w:style w:type="character" w:styleId="WWCharLFO43LVL4">
    <w:name w:val="WW_CharLFO43LVL4"/>
    <w:qFormat/>
    <w:rPr>
      <w:rFonts w:ascii="Symbol" w:hAnsi="Symbol"/>
    </w:rPr>
  </w:style>
  <w:style w:type="character" w:styleId="WWCharLFO43LVL3">
    <w:name w:val="WW_CharLFO43LVL3"/>
    <w:qFormat/>
    <w:rPr>
      <w:rFonts w:ascii="Wingdings" w:hAnsi="Wingdings"/>
    </w:rPr>
  </w:style>
  <w:style w:type="character" w:styleId="WWCharLFO43LVL2">
    <w:name w:val="WW_CharLFO43LVL2"/>
    <w:qFormat/>
    <w:rPr>
      <w:rFonts w:ascii="Courier New" w:hAnsi="Courier New" w:cs="Courier New"/>
    </w:rPr>
  </w:style>
  <w:style w:type="character" w:styleId="WWCharLFO43LVL1">
    <w:name w:val="WW_CharLFO43LVL1"/>
    <w:qFormat/>
    <w:rPr>
      <w:rFonts w:ascii="Times New Roman" w:hAnsi="Times New Roman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WWCharLFO67LVL9">
    <w:name w:val="WW_CharLFO67LVL9"/>
    <w:qFormat/>
    <w:rPr>
      <w:rFonts w:ascii="OpenSymbol" w:hAnsi="OpenSymbol" w:eastAsia="OpenSymbol" w:cs="OpenSymbol"/>
    </w:rPr>
  </w:style>
  <w:style w:type="character" w:styleId="WWCharLFO67LVL8">
    <w:name w:val="WW_CharLFO67LVL8"/>
    <w:qFormat/>
    <w:rPr>
      <w:rFonts w:ascii="OpenSymbol" w:hAnsi="OpenSymbol" w:eastAsia="OpenSymbol" w:cs="OpenSymbol"/>
    </w:rPr>
  </w:style>
  <w:style w:type="character" w:styleId="WWCharLFO67LVL7">
    <w:name w:val="WW_CharLFO67LVL7"/>
    <w:qFormat/>
    <w:rPr>
      <w:rFonts w:ascii="OpenSymbol" w:hAnsi="OpenSymbol" w:eastAsia="OpenSymbol" w:cs="OpenSymbol"/>
    </w:rPr>
  </w:style>
  <w:style w:type="character" w:styleId="WWCharLFO67LVL6">
    <w:name w:val="WW_CharLFO67LVL6"/>
    <w:qFormat/>
    <w:rPr>
      <w:rFonts w:ascii="OpenSymbol" w:hAnsi="OpenSymbol" w:eastAsia="OpenSymbol" w:cs="OpenSymbol"/>
    </w:rPr>
  </w:style>
  <w:style w:type="character" w:styleId="WWCharLFO67LVL5">
    <w:name w:val="WW_CharLFO67LVL5"/>
    <w:qFormat/>
    <w:rPr>
      <w:rFonts w:ascii="OpenSymbol" w:hAnsi="OpenSymbol" w:eastAsia="OpenSymbol" w:cs="OpenSymbol"/>
    </w:rPr>
  </w:style>
  <w:style w:type="character" w:styleId="WWCharLFO67LVL4">
    <w:name w:val="WW_CharLFO67LVL4"/>
    <w:qFormat/>
    <w:rPr>
      <w:rFonts w:ascii="OpenSymbol" w:hAnsi="OpenSymbol" w:eastAsia="OpenSymbol" w:cs="OpenSymbol"/>
    </w:rPr>
  </w:style>
  <w:style w:type="character" w:styleId="WWCharLFO67LVL3">
    <w:name w:val="WW_CharLFO67LVL3"/>
    <w:qFormat/>
    <w:rPr>
      <w:rFonts w:ascii="OpenSymbol" w:hAnsi="OpenSymbol" w:eastAsia="OpenSymbol" w:cs="OpenSymbol"/>
    </w:rPr>
  </w:style>
  <w:style w:type="character" w:styleId="WWCharLFO67LVL2">
    <w:name w:val="WW_CharLFO67LVL2"/>
    <w:qFormat/>
    <w:rPr>
      <w:rFonts w:ascii="OpenSymbol" w:hAnsi="OpenSymbol" w:eastAsia="OpenSymbol" w:cs="OpenSymbol"/>
    </w:rPr>
  </w:style>
  <w:style w:type="character" w:styleId="WWCharLFO67LVL1">
    <w:name w:val="WW_CharLFO67LVL1"/>
    <w:qFormat/>
    <w:rPr>
      <w:rFonts w:ascii="OpenSymbol" w:hAnsi="OpenSymbol" w:eastAsia="OpenSymbol" w:cs="OpenSymbol"/>
    </w:rPr>
  </w:style>
  <w:style w:type="character" w:styleId="WWCharLFO59LVL9">
    <w:name w:val="WW_CharLFO59LVL9"/>
    <w:qFormat/>
    <w:rPr>
      <w:rFonts w:ascii="OpenSymbol" w:hAnsi="OpenSymbol" w:eastAsia="OpenSymbol" w:cs="OpenSymbol"/>
    </w:rPr>
  </w:style>
  <w:style w:type="character" w:styleId="WWCharLFO59LVL8">
    <w:name w:val="WW_CharLFO59LVL8"/>
    <w:qFormat/>
    <w:rPr>
      <w:rFonts w:ascii="OpenSymbol" w:hAnsi="OpenSymbol" w:eastAsia="OpenSymbol" w:cs="OpenSymbol"/>
    </w:rPr>
  </w:style>
  <w:style w:type="character" w:styleId="WWCharLFO59LVL7">
    <w:name w:val="WW_CharLFO59LVL7"/>
    <w:qFormat/>
    <w:rPr>
      <w:rFonts w:ascii="OpenSymbol" w:hAnsi="OpenSymbol" w:eastAsia="OpenSymbol" w:cs="OpenSymbol"/>
    </w:rPr>
  </w:style>
  <w:style w:type="character" w:styleId="WWCharLFO59LVL6">
    <w:name w:val="WW_CharLFO59LVL6"/>
    <w:qFormat/>
    <w:rPr>
      <w:rFonts w:ascii="OpenSymbol" w:hAnsi="OpenSymbol" w:eastAsia="OpenSymbol" w:cs="OpenSymbol"/>
    </w:rPr>
  </w:style>
  <w:style w:type="character" w:styleId="WWCharLFO59LVL5">
    <w:name w:val="WW_CharLFO59LVL5"/>
    <w:qFormat/>
    <w:rPr>
      <w:rFonts w:ascii="OpenSymbol" w:hAnsi="OpenSymbol" w:eastAsia="OpenSymbol" w:cs="OpenSymbol"/>
    </w:rPr>
  </w:style>
  <w:style w:type="character" w:styleId="WWCharLFO59LVL4">
    <w:name w:val="WW_CharLFO59LVL4"/>
    <w:qFormat/>
    <w:rPr>
      <w:rFonts w:ascii="OpenSymbol" w:hAnsi="OpenSymbol" w:eastAsia="OpenSymbol" w:cs="OpenSymbol"/>
    </w:rPr>
  </w:style>
  <w:style w:type="character" w:styleId="WWCharLFO59LVL3">
    <w:name w:val="WW_CharLFO59LVL3"/>
    <w:qFormat/>
    <w:rPr>
      <w:rFonts w:ascii="OpenSymbol" w:hAnsi="OpenSymbol" w:eastAsia="OpenSymbol" w:cs="OpenSymbol"/>
    </w:rPr>
  </w:style>
  <w:style w:type="character" w:styleId="WWCharLFO59LVL2">
    <w:name w:val="WW_CharLFO59LVL2"/>
    <w:qFormat/>
    <w:rPr>
      <w:rFonts w:ascii="OpenSymbol" w:hAnsi="OpenSymbol" w:eastAsia="OpenSymbol" w:cs="OpenSymbol"/>
    </w:rPr>
  </w:style>
  <w:style w:type="character" w:styleId="WWCharLFO59LVL1">
    <w:name w:val="WW_CharLFO59LVL1"/>
    <w:qFormat/>
    <w:rPr>
      <w:rFonts w:ascii="OpenSymbol" w:hAnsi="OpenSymbol" w:eastAsia="OpenSymbol" w:cs="OpenSymbol"/>
    </w:rPr>
  </w:style>
  <w:style w:type="character" w:styleId="WWCharLFO56LVL9">
    <w:name w:val="WW_CharLFO56LVL9"/>
    <w:qFormat/>
    <w:rPr>
      <w:rFonts w:ascii="OpenSymbol" w:hAnsi="OpenSymbol" w:eastAsia="OpenSymbol" w:cs="OpenSymbol"/>
    </w:rPr>
  </w:style>
  <w:style w:type="character" w:styleId="WWCharLFO56LVL8">
    <w:name w:val="WW_CharLFO56LVL8"/>
    <w:qFormat/>
    <w:rPr>
      <w:rFonts w:ascii="OpenSymbol" w:hAnsi="OpenSymbol" w:eastAsia="OpenSymbol" w:cs="OpenSymbol"/>
    </w:rPr>
  </w:style>
  <w:style w:type="character" w:styleId="WWCharLFO56LVL7">
    <w:name w:val="WW_CharLFO56LVL7"/>
    <w:qFormat/>
    <w:rPr>
      <w:rFonts w:ascii="OpenSymbol" w:hAnsi="OpenSymbol" w:eastAsia="OpenSymbol" w:cs="OpenSymbol"/>
    </w:rPr>
  </w:style>
  <w:style w:type="character" w:styleId="WWCharLFO56LVL6">
    <w:name w:val="WW_CharLFO56LVL6"/>
    <w:qFormat/>
    <w:rPr>
      <w:rFonts w:ascii="OpenSymbol" w:hAnsi="OpenSymbol" w:eastAsia="OpenSymbol" w:cs="OpenSymbol"/>
    </w:rPr>
  </w:style>
  <w:style w:type="character" w:styleId="WWCharLFO56LVL5">
    <w:name w:val="WW_CharLFO56LVL5"/>
    <w:qFormat/>
    <w:rPr>
      <w:rFonts w:ascii="OpenSymbol" w:hAnsi="OpenSymbol" w:eastAsia="OpenSymbol" w:cs="OpenSymbol"/>
    </w:rPr>
  </w:style>
  <w:style w:type="character" w:styleId="WWCharLFO56LVL4">
    <w:name w:val="WW_CharLFO56LVL4"/>
    <w:qFormat/>
    <w:rPr>
      <w:rFonts w:ascii="OpenSymbol" w:hAnsi="OpenSymbol" w:eastAsia="OpenSymbol" w:cs="OpenSymbol"/>
    </w:rPr>
  </w:style>
  <w:style w:type="character" w:styleId="WWCharLFO56LVL3">
    <w:name w:val="WW_CharLFO56LVL3"/>
    <w:qFormat/>
    <w:rPr>
      <w:rFonts w:ascii="OpenSymbol" w:hAnsi="OpenSymbol" w:eastAsia="OpenSymbol" w:cs="OpenSymbol"/>
    </w:rPr>
  </w:style>
  <w:style w:type="character" w:styleId="WWCharLFO56LVL2">
    <w:name w:val="WW_CharLFO56LVL2"/>
    <w:qFormat/>
    <w:rPr>
      <w:rFonts w:ascii="OpenSymbol" w:hAnsi="OpenSymbol" w:eastAsia="OpenSymbol" w:cs="OpenSymbol"/>
    </w:rPr>
  </w:style>
  <w:style w:type="character" w:styleId="WWCharLFO56LVL1">
    <w:name w:val="WW_CharLFO56LVL1"/>
    <w:qFormat/>
    <w:rPr>
      <w:rFonts w:ascii="OpenSymbol" w:hAnsi="OpenSymbol" w:eastAsia="OpenSymbol" w:cs="OpenSymbol"/>
    </w:rPr>
  </w:style>
  <w:style w:type="character" w:styleId="WWCharLFO54LVL9">
    <w:name w:val="WW_CharLFO54LVL9"/>
    <w:qFormat/>
    <w:rPr>
      <w:rFonts w:ascii="OpenSymbol" w:hAnsi="OpenSymbol" w:eastAsia="OpenSymbol" w:cs="OpenSymbol"/>
    </w:rPr>
  </w:style>
  <w:style w:type="character" w:styleId="WWCharLFO54LVL8">
    <w:name w:val="WW_CharLFO54LVL8"/>
    <w:qFormat/>
    <w:rPr>
      <w:rFonts w:ascii="OpenSymbol" w:hAnsi="OpenSymbol" w:eastAsia="OpenSymbol" w:cs="OpenSymbol"/>
    </w:rPr>
  </w:style>
  <w:style w:type="character" w:styleId="WWCharLFO54LVL7">
    <w:name w:val="WW_CharLFO54LVL7"/>
    <w:qFormat/>
    <w:rPr>
      <w:rFonts w:ascii="OpenSymbol" w:hAnsi="OpenSymbol" w:eastAsia="OpenSymbol" w:cs="OpenSymbol"/>
    </w:rPr>
  </w:style>
  <w:style w:type="character" w:styleId="WWCharLFO54LVL6">
    <w:name w:val="WW_CharLFO54LVL6"/>
    <w:qFormat/>
    <w:rPr>
      <w:rFonts w:ascii="OpenSymbol" w:hAnsi="OpenSymbol" w:eastAsia="OpenSymbol" w:cs="OpenSymbol"/>
    </w:rPr>
  </w:style>
  <w:style w:type="character" w:styleId="WWCharLFO54LVL5">
    <w:name w:val="WW_CharLFO54LVL5"/>
    <w:qFormat/>
    <w:rPr>
      <w:rFonts w:ascii="OpenSymbol" w:hAnsi="OpenSymbol" w:eastAsia="OpenSymbol" w:cs="OpenSymbol"/>
    </w:rPr>
  </w:style>
  <w:style w:type="character" w:styleId="WWCharLFO54LVL4">
    <w:name w:val="WW_CharLFO54LVL4"/>
    <w:qFormat/>
    <w:rPr>
      <w:rFonts w:ascii="OpenSymbol" w:hAnsi="OpenSymbol" w:eastAsia="OpenSymbol" w:cs="OpenSymbol"/>
    </w:rPr>
  </w:style>
  <w:style w:type="character" w:styleId="WWCharLFO54LVL3">
    <w:name w:val="WW_CharLFO54LVL3"/>
    <w:qFormat/>
    <w:rPr>
      <w:rFonts w:ascii="OpenSymbol" w:hAnsi="OpenSymbol" w:eastAsia="OpenSymbol" w:cs="OpenSymbol"/>
    </w:rPr>
  </w:style>
  <w:style w:type="character" w:styleId="WWCharLFO54LVL2">
    <w:name w:val="WW_CharLFO54LVL2"/>
    <w:qFormat/>
    <w:rPr>
      <w:rFonts w:ascii="OpenSymbol" w:hAnsi="OpenSymbol" w:eastAsia="OpenSymbol" w:cs="OpenSymbol"/>
    </w:rPr>
  </w:style>
  <w:style w:type="character" w:styleId="WWCharLFO54LVL1">
    <w:name w:val="WW_CharLFO54LVL1"/>
    <w:qFormat/>
    <w:rPr>
      <w:rFonts w:ascii="OpenSymbol" w:hAnsi="OpenSymbol" w:eastAsia="OpenSymbol" w:cs="OpenSymbol"/>
    </w:rPr>
  </w:style>
  <w:style w:type="character" w:styleId="WWCharLFO41LVL1">
    <w:name w:val="WW_CharLFO41LVL1"/>
    <w:qFormat/>
    <w:rPr>
      <w:rFonts w:ascii="Courier" w:hAnsi="Courier" w:eastAsia="Times New Roman" w:cs="Courier"/>
      <w:b w:val="false"/>
      <w:bCs w:val="false"/>
      <w:i w:val="false"/>
      <w:iCs w:val="false"/>
      <w:color w:val="000000"/>
      <w:sz w:val="24"/>
      <w:szCs w:val="24"/>
      <w:lang w:val="it-IT"/>
    </w:rPr>
  </w:style>
  <w:style w:type="character" w:styleId="Character20style">
    <w:name w:val="Character_20_style"/>
    <w:qFormat/>
    <w:rPr/>
  </w:style>
  <w:style w:type="character" w:styleId="WW8Num23z0">
    <w:name w:val="WW8Num23z0"/>
    <w:qFormat/>
    <w:rPr>
      <w:rFonts w:ascii="Symbol" w:hAnsi="Symbol" w:cs="Symbol"/>
      <w:sz w:val="21"/>
      <w:szCs w:val="21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Richiamoallanotadichiusura">
    <w:name w:val="Richiamo alla nota di chiusura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Punti">
    <w:name w:val="Punti"/>
    <w:qFormat/>
    <w:rPr>
      <w:rFonts w:ascii="StarSymbol" w:hAnsi="StarSymbol"/>
      <w:sz w:val="1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Caratterepredefinitoparagrafo">
    <w:name w:val="WW-Carattere predefinito paragrafo"/>
    <w:qFormat/>
    <w:rPr/>
  </w:style>
  <w:style w:type="character" w:styleId="Caratterinotadichiusura">
    <w:name w:val="Caratteri nota di chiusura"/>
    <w:qFormat/>
    <w:rPr/>
  </w:style>
  <w:style w:type="character" w:styleId="Numerodipagina">
    <w:name w:val="Numero di pagina"/>
    <w:basedOn w:val="WWCaratterepredefinitoparagrafo"/>
    <w:rPr/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testoCarattere"/>
    <w:rsid w:val="00cb791c"/>
    <w:pPr>
      <w:widowControl w:val="false"/>
      <w:spacing w:lineRule="atLeast" w:line="36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4e6274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356d7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rsid w:val="008427f4"/>
    <w:pPr>
      <w:ind w:left="720" w:hanging="0"/>
    </w:pPr>
    <w:rPr>
      <w:rFonts w:ascii="Calibri" w:hAnsi="Calibri" w:eastAsia="Times New Roman" w:cs="Calibri"/>
      <w:lang w:eastAsia="it-IT"/>
    </w:rPr>
  </w:style>
  <w:style w:type="paragraph" w:styleId="Sche23">
    <w:name w:val="sche2_3"/>
    <w:qFormat/>
    <w:pPr>
      <w:widowControl w:val="false"/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Liberation Serif;Times New Roman" w:hAnsi="Liberation Serif;Times New Roman" w:eastAsia="NSimSun" w:cs="Arial Unicode MS"/>
      <w:color w:val="auto"/>
      <w:kern w:val="0"/>
      <w:sz w:val="24"/>
      <w:szCs w:val="24"/>
      <w:lang w:val="en-US" w:eastAsia="zh-CN" w:bidi="hi-IN"/>
    </w:rPr>
  </w:style>
  <w:style w:type="paragraph" w:styleId="Sche22">
    <w:name w:val="sche2_2"/>
    <w:qFormat/>
    <w:pPr>
      <w:widowControl w:val="false"/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Liberation Serif;Times New Roman" w:hAnsi="Liberation Serif;Times New Roman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che4">
    <w:name w:val="sche_4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Style11">
    <w:name w:val="Style 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paragraph" w:styleId="Rientrocorpodeltesto">
    <w:name w:val="Body Text Indent"/>
    <w:basedOn w:val="Normal"/>
    <w:pPr>
      <w:tabs>
        <w:tab w:val="clear" w:pos="709"/>
        <w:tab w:val="left" w:pos="0" w:leader="none"/>
        <w:tab w:val="left" w:pos="8496" w:leader="none"/>
      </w:tabs>
      <w:suppressAutoHyphens w:val="true"/>
      <w:spacing w:lineRule="auto" w:line="360"/>
      <w:ind w:left="1068" w:right="0" w:hanging="0"/>
      <w:jc w:val="both"/>
    </w:pPr>
    <w:rPr/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true"/>
      <w:ind w:left="708" w:right="0" w:hanging="0"/>
    </w:pPr>
    <w:rPr/>
  </w:style>
  <w:style w:type="paragraph" w:styleId="Sche3">
    <w:name w:val="sche_3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orpodeltesto21">
    <w:name w:val="Corpo del testo 21"/>
    <w:basedOn w:val="Normal"/>
    <w:qFormat/>
    <w:pPr>
      <w:spacing w:lineRule="auto" w:line="360" w:before="0" w:after="0"/>
      <w:ind w:left="1068" w:right="0" w:hanging="0"/>
      <w:jc w:val="both"/>
    </w:pPr>
    <w:rPr>
      <w:rFonts w:eastAsia="Times New Roman"/>
      <w:i/>
      <w:iCs/>
      <w:color w:val="000000"/>
      <w:kern w:val="0"/>
      <w:szCs w:val="24"/>
      <w:lang w:val="it-IT" w:eastAsia="zh-CN" w:bidi="ar-SA"/>
    </w:rPr>
  </w:style>
  <w:style w:type="paragraph" w:styleId="Default">
    <w:name w:val="Default"/>
    <w:qFormat/>
    <w:pPr>
      <w:widowControl/>
      <w:overflowPunct w:val="false"/>
      <w:bidi w:val="0"/>
      <w:spacing w:before="0" w:after="0"/>
      <w:jc w:val="left"/>
    </w:pPr>
    <w:rPr>
      <w:rFonts w:ascii="Arial;Arial" w:hAnsi="Arial;Arial" w:eastAsia="Times New Roman" w:cs="Arial;Arial"/>
      <w:color w:val="000000"/>
      <w:kern w:val="2"/>
      <w:sz w:val="24"/>
      <w:szCs w:val="24"/>
      <w:lang w:val="it-IT" w:eastAsia="zh-CN" w:bidi="ar-SA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;Arial" w:hAnsi="Arial;Arial" w:eastAsia="Andale Sans UI;Times New Roman" w:cs="Tahoma"/>
      <w:color w:val="auto"/>
      <w:kern w:val="2"/>
      <w:sz w:val="24"/>
      <w:szCs w:val="24"/>
      <w:lang w:val="de-DE" w:eastAsia="ja-JP" w:bidi="fa-IR"/>
    </w:rPr>
  </w:style>
  <w:style w:type="paragraph" w:styleId="Centr1">
    <w:name w:val="Centr1"/>
    <w:basedOn w:val="Normal"/>
    <w:qFormat/>
    <w:pPr>
      <w:keepLines/>
      <w:tabs>
        <w:tab w:val="clear" w:pos="709"/>
        <w:tab w:val="right" w:pos="8505" w:leader="none"/>
      </w:tabs>
      <w:suppressAutoHyphens w:val="false"/>
      <w:spacing w:lineRule="atLeast" w:line="240" w:before="240" w:after="240"/>
      <w:jc w:val="center"/>
    </w:pPr>
    <w:rPr>
      <w:rFonts w:ascii="Helvetica" w:hAnsi="Helvetica" w:cs="Helvetica"/>
      <w:b/>
      <w:bCs/>
      <w:szCs w:val="20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4">
    <w:name w:val="titolo4"/>
    <w:basedOn w:val="Titolo2"/>
    <w:qFormat/>
    <w:pPr>
      <w:keepNext w:val="false"/>
      <w:widowControl w:val="false"/>
      <w:suppressAutoHyphens w:val="false"/>
      <w:spacing w:before="0" w:after="0"/>
    </w:pPr>
    <w:rPr>
      <w:rFonts w:ascii="Arial" w:hAnsi="Arial" w:cs="Arial"/>
      <w:bCs/>
      <w:caps w:val="false"/>
      <w:smallCaps w:val="false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3">
    <w:name w:val="WW8Num23"/>
    <w:qFormat/>
  </w:style>
  <w:style w:type="numbering" w:styleId="WW8Num7">
    <w:name w:val="WW8Num7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2EFC-C29B-4407-939F-0AF59F75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LibreOffice/6.3.4.2$Windows_x86 LibreOffice_project/60da17e045e08f1793c57c00ba83cdfce946d0aa</Application>
  <Pages>6</Pages>
  <Words>1129</Words>
  <Characters>6681</Characters>
  <CharactersWithSpaces>7767</CharactersWithSpaces>
  <Paragraphs>128</Paragraphs>
  <Company>Aon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2025-01-16T14:56:00Z</dcterms:created>
  <dc:creator>ALESSANDRO PREZIOSI</dc:creator>
  <dc:description/>
  <dc:language>it-IT</dc:language>
  <cp:lastModifiedBy/>
  <dcterms:modified xsi:type="dcterms:W3CDTF">2025-09-26T11:36:47Z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onClassification">
    <vt:lpwstr>ADC_class_200</vt:lpwstr>
  </property>
  <property fmtid="{D5CDD505-2E9C-101B-9397-08002B2CF9AE}" pid="3" name="AppVersion">
    <vt:lpwstr>16.0000</vt:lpwstr>
  </property>
  <property fmtid="{D5CDD505-2E9C-101B-9397-08002B2CF9AE}" pid="4" name="Company">
    <vt:lpwstr>Aon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MSIP_Label_9043f10a-881e-4653-a55e-02ca2cc829dc_ActionId">
    <vt:lpwstr>9c6618ab-af75-40b1-b76f-fc29f8778261</vt:lpwstr>
  </property>
  <property fmtid="{D5CDD505-2E9C-101B-9397-08002B2CF9AE}" pid="9" name="MSIP_Label_9043f10a-881e-4653-a55e-02ca2cc829dc_ContentBits">
    <vt:lpwstr>0</vt:lpwstr>
  </property>
  <property fmtid="{D5CDD505-2E9C-101B-9397-08002B2CF9AE}" pid="10" name="MSIP_Label_9043f10a-881e-4653-a55e-02ca2cc829dc_Enabled">
    <vt:lpwstr>true</vt:lpwstr>
  </property>
  <property fmtid="{D5CDD505-2E9C-101B-9397-08002B2CF9AE}" pid="11" name="MSIP_Label_9043f10a-881e-4653-a55e-02ca2cc829dc_Method">
    <vt:lpwstr>Standard</vt:lpwstr>
  </property>
  <property fmtid="{D5CDD505-2E9C-101B-9397-08002B2CF9AE}" pid="12" name="MSIP_Label_9043f10a-881e-4653-a55e-02ca2cc829dc_Name">
    <vt:lpwstr>ADC_class_200</vt:lpwstr>
  </property>
  <property fmtid="{D5CDD505-2E9C-101B-9397-08002B2CF9AE}" pid="13" name="MSIP_Label_9043f10a-881e-4653-a55e-02ca2cc829dc_SetDate">
    <vt:lpwstr>2024-07-01T11:13:03Z</vt:lpwstr>
  </property>
  <property fmtid="{D5CDD505-2E9C-101B-9397-08002B2CF9AE}" pid="14" name="MSIP_Label_9043f10a-881e-4653-a55e-02ca2cc829dc_SiteId">
    <vt:lpwstr>94cfddbc-0627-494a-ad7a-29aea3aea832</vt:lpwstr>
  </property>
  <property fmtid="{D5CDD505-2E9C-101B-9397-08002B2CF9AE}" pid="15" name="ScaleCrop">
    <vt:bool>0</vt:bool>
  </property>
  <property fmtid="{D5CDD505-2E9C-101B-9397-08002B2CF9AE}" pid="16" name="ShareDoc">
    <vt:bool>0</vt:bool>
  </property>
  <property fmtid="{D5CDD505-2E9C-101B-9397-08002B2CF9AE}" pid="17" name="TitusGUID">
    <vt:lpwstr>6ae465cc-9ff5-4a12-bf77-9f6917126e2d</vt:lpwstr>
  </property>
</Properties>
</file>