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69C" w14:textId="77777777" w:rsidR="000077AE" w:rsidRPr="00010AA6" w:rsidRDefault="000077AE" w:rsidP="00356323">
      <w:pPr>
        <w:spacing w:line="276" w:lineRule="auto"/>
        <w:jc w:val="right"/>
        <w:rPr>
          <w:bCs/>
          <w:sz w:val="22"/>
          <w:szCs w:val="22"/>
          <w:lang w:val="x-none"/>
        </w:rPr>
      </w:pPr>
    </w:p>
    <w:p w14:paraId="250595D2" w14:textId="7E30FA1A" w:rsidR="00F12109" w:rsidRPr="00010AA6" w:rsidRDefault="00F12109" w:rsidP="00356323">
      <w:pPr>
        <w:pStyle w:val="Standard"/>
        <w:spacing w:line="276" w:lineRule="auto"/>
        <w:jc w:val="center"/>
        <w:rPr>
          <w:b/>
          <w:sz w:val="22"/>
          <w:szCs w:val="22"/>
        </w:rPr>
      </w:pPr>
      <w:r w:rsidRPr="00010AA6">
        <w:rPr>
          <w:b/>
          <w:sz w:val="22"/>
          <w:szCs w:val="22"/>
        </w:rPr>
        <w:t xml:space="preserve">PORTO DI </w:t>
      </w:r>
      <w:r w:rsidR="00E44A29" w:rsidRPr="00010AA6">
        <w:rPr>
          <w:b/>
          <w:sz w:val="22"/>
          <w:szCs w:val="22"/>
        </w:rPr>
        <w:t>ANCONA</w:t>
      </w:r>
    </w:p>
    <w:p w14:paraId="4FA5C387" w14:textId="58ED5308" w:rsidR="00F12109" w:rsidRPr="00010AA6" w:rsidRDefault="00F12109" w:rsidP="00356323">
      <w:pPr>
        <w:spacing w:line="276" w:lineRule="auto"/>
        <w:jc w:val="center"/>
        <w:rPr>
          <w:b/>
          <w:sz w:val="22"/>
          <w:szCs w:val="22"/>
        </w:rPr>
      </w:pPr>
      <w:r w:rsidRPr="00010AA6">
        <w:rPr>
          <w:b/>
          <w:sz w:val="22"/>
          <w:szCs w:val="22"/>
        </w:rPr>
        <w:t>DISCIPLINARE PROCEDURA COMPARATIVA EX ART. 37 COD. NAV.</w:t>
      </w:r>
    </w:p>
    <w:p w14:paraId="254AFEEA" w14:textId="77777777" w:rsidR="00F12109" w:rsidRPr="00010AA6" w:rsidRDefault="00F12109" w:rsidP="00356323">
      <w:pPr>
        <w:spacing w:line="276" w:lineRule="auto"/>
        <w:jc w:val="center"/>
        <w:rPr>
          <w:b/>
          <w:sz w:val="22"/>
          <w:szCs w:val="22"/>
        </w:rPr>
      </w:pPr>
    </w:p>
    <w:p w14:paraId="49222DED" w14:textId="77777777" w:rsidR="00F12109" w:rsidRPr="00010AA6" w:rsidRDefault="00F12109" w:rsidP="00356323">
      <w:pPr>
        <w:spacing w:line="276" w:lineRule="auto"/>
        <w:jc w:val="both"/>
        <w:rPr>
          <w:b/>
          <w:sz w:val="22"/>
          <w:szCs w:val="22"/>
        </w:rPr>
      </w:pPr>
    </w:p>
    <w:p w14:paraId="3F48AB8C" w14:textId="77777777" w:rsidR="00F12109" w:rsidRPr="00010AA6" w:rsidRDefault="00F12109" w:rsidP="00356323">
      <w:pPr>
        <w:spacing w:line="276" w:lineRule="auto"/>
        <w:jc w:val="center"/>
        <w:rPr>
          <w:b/>
          <w:sz w:val="22"/>
          <w:szCs w:val="22"/>
        </w:rPr>
      </w:pPr>
      <w:r w:rsidRPr="00010AA6">
        <w:rPr>
          <w:b/>
          <w:sz w:val="22"/>
          <w:szCs w:val="22"/>
        </w:rPr>
        <w:t>PREMESSA</w:t>
      </w:r>
    </w:p>
    <w:p w14:paraId="6F6953C6" w14:textId="77777777" w:rsidR="00806BB9" w:rsidRPr="00010AA6" w:rsidRDefault="00806BB9" w:rsidP="00356323">
      <w:pPr>
        <w:pStyle w:val="Standard"/>
        <w:spacing w:line="276" w:lineRule="auto"/>
        <w:jc w:val="center"/>
        <w:rPr>
          <w:sz w:val="22"/>
          <w:szCs w:val="22"/>
        </w:rPr>
      </w:pPr>
    </w:p>
    <w:p w14:paraId="413B734B" w14:textId="77777777" w:rsidR="00806BB9" w:rsidRPr="00010AA6" w:rsidRDefault="00806BB9" w:rsidP="00356323">
      <w:pPr>
        <w:widowControl w:val="0"/>
        <w:suppressAutoHyphens/>
        <w:autoSpaceDN w:val="0"/>
        <w:spacing w:line="276" w:lineRule="auto"/>
        <w:ind w:firstLine="709"/>
        <w:jc w:val="both"/>
        <w:textAlignment w:val="baseline"/>
        <w:rPr>
          <w:rFonts w:eastAsia="Times New Roman"/>
          <w:kern w:val="3"/>
          <w:sz w:val="22"/>
          <w:szCs w:val="22"/>
          <w:lang w:eastAsia="it-IT"/>
        </w:rPr>
      </w:pPr>
    </w:p>
    <w:p w14:paraId="7BA9DC8D" w14:textId="04BB8037" w:rsidR="006B1800" w:rsidRPr="00010AA6" w:rsidRDefault="00F12109" w:rsidP="00356323">
      <w:pPr>
        <w:widowControl w:val="0"/>
        <w:suppressAutoHyphens/>
        <w:autoSpaceDN w:val="0"/>
        <w:spacing w:line="276" w:lineRule="auto"/>
        <w:ind w:firstLine="709"/>
        <w:jc w:val="both"/>
        <w:textAlignment w:val="baseline"/>
        <w:rPr>
          <w:rFonts w:eastAsia="Times New Roman"/>
          <w:kern w:val="3"/>
          <w:sz w:val="22"/>
          <w:szCs w:val="22"/>
          <w:lang w:eastAsia="it-IT"/>
        </w:rPr>
      </w:pPr>
      <w:r w:rsidRPr="00010AA6">
        <w:rPr>
          <w:rFonts w:eastAsia="Times New Roman"/>
          <w:kern w:val="3"/>
          <w:sz w:val="22"/>
          <w:szCs w:val="22"/>
          <w:lang w:eastAsia="it-IT"/>
        </w:rPr>
        <w:t xml:space="preserve">Con nota acquisita al prot. </w:t>
      </w:r>
      <w:bookmarkStart w:id="0" w:name="_Hlk185324940"/>
      <w:r w:rsidR="006B1800" w:rsidRPr="00010AA6">
        <w:rPr>
          <w:rFonts w:eastAsia="Times New Roman"/>
          <w:kern w:val="3"/>
          <w:sz w:val="22"/>
          <w:szCs w:val="22"/>
          <w:lang w:eastAsia="it-IT"/>
        </w:rPr>
        <w:t xml:space="preserve">n. 18457-31/10/2024 integrata con prot. n. </w:t>
      </w:r>
      <w:bookmarkEnd w:id="0"/>
      <w:r w:rsidR="006B1800" w:rsidRPr="00010AA6">
        <w:rPr>
          <w:rFonts w:eastAsia="Times New Roman"/>
          <w:kern w:val="3"/>
          <w:sz w:val="22"/>
          <w:szCs w:val="22"/>
          <w:lang w:eastAsia="it-IT"/>
        </w:rPr>
        <w:t xml:space="preserve">21768-23/12/2024 </w:t>
      </w:r>
      <w:r w:rsidRPr="00010AA6">
        <w:rPr>
          <w:rFonts w:eastAsia="Times New Roman"/>
          <w:kern w:val="3"/>
          <w:sz w:val="22"/>
          <w:szCs w:val="22"/>
          <w:lang w:eastAsia="it-IT"/>
        </w:rPr>
        <w:t>la Società</w:t>
      </w:r>
      <w:r w:rsidR="001743F8" w:rsidRPr="00010AA6">
        <w:rPr>
          <w:rFonts w:eastAsia="Times New Roman"/>
          <w:kern w:val="3"/>
          <w:sz w:val="22"/>
          <w:szCs w:val="22"/>
          <w:lang w:eastAsia="it-IT"/>
        </w:rPr>
        <w:t xml:space="preserve"> </w:t>
      </w:r>
      <w:r w:rsidR="006B1800" w:rsidRPr="00010AA6">
        <w:rPr>
          <w:rFonts w:eastAsia="Times New Roman"/>
          <w:kern w:val="3"/>
          <w:sz w:val="22"/>
          <w:szCs w:val="22"/>
          <w:lang w:eastAsia="it-IT"/>
        </w:rPr>
        <w:t>“Nautiservice S.r.l.” - c.f./p.iva 00093450427,</w:t>
      </w:r>
      <w:r w:rsidR="00947A01" w:rsidRPr="00010AA6">
        <w:rPr>
          <w:rFonts w:eastAsia="Times New Roman"/>
          <w:kern w:val="3"/>
          <w:sz w:val="22"/>
          <w:szCs w:val="22"/>
          <w:lang w:eastAsia="it-IT"/>
        </w:rPr>
        <w:t xml:space="preserve"> ha formalizzato la domanda di rilascio di una nuova concessione demaniale marittima ai sensi dell’art. 36 Cod. Nav.</w:t>
      </w:r>
      <w:r w:rsidR="007A0FA2" w:rsidRPr="00010AA6">
        <w:rPr>
          <w:rFonts w:eastAsia="Times New Roman"/>
          <w:kern w:val="3"/>
          <w:sz w:val="22"/>
          <w:szCs w:val="22"/>
          <w:lang w:eastAsia="it-IT"/>
        </w:rPr>
        <w:t xml:space="preserve">, già oggetto di precedente licenza d.m. n. reg. </w:t>
      </w:r>
      <w:r w:rsidR="006B1800" w:rsidRPr="00010AA6">
        <w:rPr>
          <w:rFonts w:eastAsia="Times New Roman"/>
          <w:kern w:val="3"/>
          <w:sz w:val="22"/>
          <w:szCs w:val="22"/>
          <w:lang w:eastAsia="it-IT"/>
        </w:rPr>
        <w:t>24/2012 rep. 763 del 27/09/2012 per utilizzo dell’area demaniale di complessivi mq. 406,00, catastalmente individuata al foglio 165 part. 138 sub 2 e part. 112 sub 2, adibita a scalo di alaggio all’interno del Porto Turistico di La Marina Dorica s.p.a., così suddivisa: mq. 336,00 costituito da due pontili in muratura e mq. 70,00 di specchio acqueo per posizionare un finger di mt. 8,00 di lunghezza e mt. 0,72 di larghezza per rendere più sicuro e semplice l’accosto e l’alaggio o il varo delle imbarcazioni.</w:t>
      </w:r>
    </w:p>
    <w:p w14:paraId="2C22E1BA" w14:textId="1ACAAA9E" w:rsidR="006B1800" w:rsidRPr="00010AA6" w:rsidRDefault="006B1800" w:rsidP="00356323">
      <w:pPr>
        <w:widowControl w:val="0"/>
        <w:suppressAutoHyphens/>
        <w:autoSpaceDN w:val="0"/>
        <w:spacing w:line="276" w:lineRule="auto"/>
        <w:ind w:firstLine="709"/>
        <w:jc w:val="both"/>
        <w:textAlignment w:val="baseline"/>
        <w:rPr>
          <w:rFonts w:eastAsia="Times New Roman"/>
          <w:kern w:val="3"/>
          <w:sz w:val="22"/>
          <w:szCs w:val="22"/>
          <w:lang w:eastAsia="it-IT"/>
        </w:rPr>
      </w:pPr>
      <w:r w:rsidRPr="00010AA6">
        <w:rPr>
          <w:rFonts w:eastAsia="Times New Roman"/>
          <w:kern w:val="3"/>
          <w:sz w:val="22"/>
          <w:szCs w:val="22"/>
          <w:lang w:eastAsia="it-IT"/>
        </w:rPr>
        <w:t>Si precisa che la concessione n. reg. 24/2012 rep. 763 del 27/09/2012 è stata oggetto di proroga biennale ex art. 199 comma 3 lett. b) D.L. 34/2020 convertito dalla L. 77/2020 come modificato dall’art. 5 comma 3 bis del D.L. 146/2021 convertito dalla L. 17/12/2021 n. 215 e art. 3 L. 05/08/2022 n. 118, nonché proroga ai sensi dell’art. 3 Legge 05/08/2022 n. 118, con nuova scadenza al 31/12/2024.</w:t>
      </w:r>
    </w:p>
    <w:p w14:paraId="292A88F2" w14:textId="42E4D802" w:rsidR="00221726" w:rsidRPr="00010AA6" w:rsidRDefault="00F12109"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 xml:space="preserve">In data </w:t>
      </w:r>
      <w:r w:rsidR="006B1800" w:rsidRPr="00010AA6">
        <w:rPr>
          <w:rFonts w:eastAsia="Times New Roman"/>
          <w:kern w:val="3"/>
          <w:sz w:val="22"/>
          <w:szCs w:val="22"/>
          <w:lang w:eastAsia="it-IT"/>
        </w:rPr>
        <w:t>29/01/</w:t>
      </w:r>
      <w:r w:rsidRPr="00010AA6">
        <w:rPr>
          <w:rFonts w:eastAsia="Times New Roman"/>
          <w:kern w:val="3"/>
          <w:sz w:val="22"/>
          <w:szCs w:val="22"/>
          <w:lang w:eastAsia="it-IT"/>
        </w:rPr>
        <w:t>202</w:t>
      </w:r>
      <w:r w:rsidR="007A0FA2" w:rsidRPr="00010AA6">
        <w:rPr>
          <w:rFonts w:eastAsia="Times New Roman"/>
          <w:kern w:val="3"/>
          <w:sz w:val="22"/>
          <w:szCs w:val="22"/>
          <w:lang w:eastAsia="it-IT"/>
        </w:rPr>
        <w:t xml:space="preserve">5 </w:t>
      </w:r>
      <w:r w:rsidRPr="00010AA6">
        <w:rPr>
          <w:rFonts w:eastAsia="Times New Roman"/>
          <w:kern w:val="3"/>
          <w:sz w:val="22"/>
          <w:szCs w:val="22"/>
          <w:lang w:eastAsia="it-IT"/>
        </w:rPr>
        <w:t xml:space="preserve">con prot. </w:t>
      </w:r>
      <w:r w:rsidR="006B1800" w:rsidRPr="00010AA6">
        <w:rPr>
          <w:rFonts w:eastAsia="Times New Roman"/>
          <w:kern w:val="3"/>
          <w:sz w:val="22"/>
          <w:szCs w:val="22"/>
          <w:lang w:eastAsia="it-IT"/>
        </w:rPr>
        <w:t>1655</w:t>
      </w:r>
      <w:r w:rsidRPr="00010AA6">
        <w:rPr>
          <w:rFonts w:eastAsia="Times New Roman"/>
          <w:kern w:val="3"/>
          <w:sz w:val="22"/>
          <w:szCs w:val="22"/>
          <w:lang w:eastAsia="it-IT"/>
        </w:rPr>
        <w:t xml:space="preserve"> di pari data questo Ente ha </w:t>
      </w:r>
      <w:r w:rsidR="00221726" w:rsidRPr="00010AA6">
        <w:rPr>
          <w:rFonts w:eastAsia="Times New Roman"/>
          <w:kern w:val="3"/>
          <w:sz w:val="22"/>
          <w:szCs w:val="22"/>
          <w:lang w:eastAsia="it-IT"/>
        </w:rPr>
        <w:t>trasmesso alla Capitaneria di Porto di Ancona ed al Comune di Ancona l’avviso da pubblicare nel relativo albo pretorio, ai sensi dell’art. 18 Reg. Cod. Nav., avente ad oggetto la domanda sopra indicata conferendo il termine di giorni 30 (trenta) dalla pubblicazione per la presentazione di eventuali domande concorrenti, osservazioni e/o opposizioni.</w:t>
      </w:r>
    </w:p>
    <w:p w14:paraId="376BC5E2" w14:textId="6C236043" w:rsidR="00221726" w:rsidRPr="00010AA6" w:rsidRDefault="00221726"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In data 30/01/2025, tale avviso è stato pubblicato all’albo pretorio di questo Ente e registrato al n. 16/2025.</w:t>
      </w:r>
    </w:p>
    <w:p w14:paraId="13611735" w14:textId="61E5FB94" w:rsidR="008848D7" w:rsidRPr="00010AA6" w:rsidRDefault="008848D7"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 xml:space="preserve">Con l’avviso pubblico è stato </w:t>
      </w:r>
      <w:r w:rsidRPr="00010AA6">
        <w:rPr>
          <w:bCs/>
          <w:sz w:val="22"/>
          <w:szCs w:val="22"/>
        </w:rPr>
        <w:t>rappresentato che:</w:t>
      </w:r>
    </w:p>
    <w:p w14:paraId="1ACCA0AD" w14:textId="3B56C6F3" w:rsidR="00221726" w:rsidRPr="00010AA6" w:rsidRDefault="00221726" w:rsidP="00356323">
      <w:pPr>
        <w:pStyle w:val="Paragrafoelenco"/>
        <w:numPr>
          <w:ilvl w:val="0"/>
          <w:numId w:val="13"/>
        </w:numPr>
        <w:spacing w:line="276" w:lineRule="auto"/>
        <w:rPr>
          <w:bCs/>
          <w:sz w:val="22"/>
          <w:szCs w:val="22"/>
        </w:rPr>
      </w:pPr>
      <w:r w:rsidRPr="00010AA6">
        <w:rPr>
          <w:bCs/>
          <w:sz w:val="22"/>
          <w:szCs w:val="22"/>
        </w:rPr>
        <w:t>i pontili sono stati ritenuti di facile rimozione dall’ufficio del Genio Civile OO.MM con il foglio n. 11970 del 28/12/78.</w:t>
      </w:r>
    </w:p>
    <w:p w14:paraId="373CD48E" w14:textId="77777777" w:rsidR="00221726" w:rsidRPr="00010AA6" w:rsidRDefault="00221726" w:rsidP="00356323">
      <w:pPr>
        <w:pStyle w:val="Paragrafoelenco"/>
        <w:numPr>
          <w:ilvl w:val="0"/>
          <w:numId w:val="13"/>
        </w:numPr>
        <w:spacing w:line="276" w:lineRule="auto"/>
        <w:rPr>
          <w:bCs/>
          <w:sz w:val="22"/>
          <w:szCs w:val="22"/>
        </w:rPr>
      </w:pPr>
      <w:r w:rsidRPr="00010AA6">
        <w:rPr>
          <w:bCs/>
          <w:sz w:val="22"/>
          <w:szCs w:val="22"/>
        </w:rPr>
        <w:t>Con prot. n. PART-2520-27/08/2010 l’Autorità Portuale di Ancona, oggi Autorità di Sistema Portuale del Mare Adriatico Centrale, ha autorizzato i lavori di manutenzione per il consolidamento delle strutture dei pontili.</w:t>
      </w:r>
    </w:p>
    <w:p w14:paraId="33B31EE8" w14:textId="77777777" w:rsidR="00221726" w:rsidRPr="00010AA6" w:rsidRDefault="00221726" w:rsidP="00356323">
      <w:pPr>
        <w:pStyle w:val="Paragrafoelenco"/>
        <w:numPr>
          <w:ilvl w:val="0"/>
          <w:numId w:val="13"/>
        </w:numPr>
        <w:spacing w:line="276" w:lineRule="auto"/>
        <w:rPr>
          <w:bCs/>
          <w:sz w:val="22"/>
          <w:szCs w:val="22"/>
        </w:rPr>
      </w:pPr>
      <w:r w:rsidRPr="00010AA6">
        <w:rPr>
          <w:bCs/>
          <w:sz w:val="22"/>
          <w:szCs w:val="22"/>
        </w:rPr>
        <w:t>Con parere rilasciato con prot. n. 7074-24/03/2017, acquisita al prot. n. ARR-2254-24/03/2017, il Provveditorato Interregionale per le OO.PP. – Toscana – Marche – Umbria – Sede Coordinata di Ancona ha espresso la riclassificazione dei pontili da “facile rimozione” a “difficile rimozione”.</w:t>
      </w:r>
    </w:p>
    <w:p w14:paraId="79B58385" w14:textId="4B2036B1" w:rsidR="00221726" w:rsidRPr="00010AA6" w:rsidRDefault="00221726" w:rsidP="00356323">
      <w:pPr>
        <w:pStyle w:val="Paragrafoelenco"/>
        <w:numPr>
          <w:ilvl w:val="0"/>
          <w:numId w:val="13"/>
        </w:numPr>
        <w:spacing w:line="276" w:lineRule="auto"/>
        <w:rPr>
          <w:bCs/>
          <w:sz w:val="22"/>
          <w:szCs w:val="22"/>
        </w:rPr>
      </w:pPr>
      <w:r w:rsidRPr="00010AA6">
        <w:rPr>
          <w:bCs/>
          <w:sz w:val="22"/>
          <w:szCs w:val="22"/>
        </w:rPr>
        <w:t>Con la nota prot. n. PAR-4258-06/09/2017 questa Autorità ha chiesto l’avvio della procedura per la valutazione delle opere oggetto di concessione ai fini dell’incameramento ai sensi dell’art. 49 Cod. Nav.</w:t>
      </w:r>
    </w:p>
    <w:p w14:paraId="43836BF8" w14:textId="77777777" w:rsidR="00221726" w:rsidRPr="00010AA6" w:rsidRDefault="00221726" w:rsidP="00356323">
      <w:pPr>
        <w:pStyle w:val="Paragrafoelenco"/>
        <w:numPr>
          <w:ilvl w:val="0"/>
          <w:numId w:val="13"/>
        </w:numPr>
        <w:spacing w:line="276" w:lineRule="auto"/>
        <w:rPr>
          <w:sz w:val="22"/>
          <w:szCs w:val="22"/>
        </w:rPr>
      </w:pPr>
      <w:r w:rsidRPr="00010AA6">
        <w:rPr>
          <w:bCs/>
          <w:sz w:val="22"/>
          <w:szCs w:val="22"/>
        </w:rPr>
        <w:lastRenderedPageBreak/>
        <w:t>Con la nota prot. n. 17322-14/06/2018, acquisita al prot. n. ARR-5016-14/06/2018, la Capitaneria</w:t>
      </w:r>
      <w:r w:rsidRPr="00010AA6">
        <w:rPr>
          <w:sz w:val="22"/>
          <w:szCs w:val="22"/>
        </w:rPr>
        <w:t xml:space="preserve"> di Porto di Ancona, a seguito delle valutazioni preliminari effettuate, ha comunicato che la procedura prevista ai sensi dell’art. 49 Cod. Nav. risulta rinviata alla cessazione del rapporto concessorio.</w:t>
      </w:r>
    </w:p>
    <w:p w14:paraId="53575D3E" w14:textId="77777777" w:rsidR="00571A3D" w:rsidRDefault="00221726" w:rsidP="00356323">
      <w:pPr>
        <w:pStyle w:val="Paragrafoelenco"/>
        <w:numPr>
          <w:ilvl w:val="0"/>
          <w:numId w:val="13"/>
        </w:numPr>
        <w:spacing w:line="276" w:lineRule="auto"/>
        <w:rPr>
          <w:bCs/>
          <w:sz w:val="22"/>
          <w:szCs w:val="22"/>
        </w:rPr>
      </w:pPr>
      <w:r w:rsidRPr="00010AA6">
        <w:rPr>
          <w:bCs/>
          <w:sz w:val="22"/>
          <w:szCs w:val="22"/>
        </w:rPr>
        <w:t>Con la nota prot. n. 19850-25/11/2024, in previsione della scadenza al 31/12/2024, questa Autorità ha richiesto il ri-avvio della procedura di incameramento delle opere oggetto di concessione ai sensi dell’art. 49 Cod. Nav</w:t>
      </w:r>
      <w:r w:rsidR="00571A3D">
        <w:rPr>
          <w:bCs/>
          <w:sz w:val="22"/>
          <w:szCs w:val="22"/>
        </w:rPr>
        <w:t>.</w:t>
      </w:r>
    </w:p>
    <w:p w14:paraId="4B924FF7" w14:textId="5E9F9398" w:rsidR="00571A3D" w:rsidRPr="00010AA6" w:rsidRDefault="00571A3D" w:rsidP="00571A3D">
      <w:pPr>
        <w:pStyle w:val="Paragrafoelenco"/>
        <w:numPr>
          <w:ilvl w:val="0"/>
          <w:numId w:val="13"/>
        </w:numPr>
        <w:spacing w:line="276" w:lineRule="auto"/>
        <w:rPr>
          <w:bCs/>
          <w:sz w:val="22"/>
          <w:szCs w:val="22"/>
        </w:rPr>
      </w:pPr>
      <w:r w:rsidRPr="00010AA6">
        <w:rPr>
          <w:bCs/>
          <w:sz w:val="22"/>
          <w:szCs w:val="22"/>
        </w:rPr>
        <w:t>Con prot. n. 14116-15/07/2025 è stato acquisito il verbale di sopralluogo avente ad oggetto le attività di incameramento previste dall’art. 49 Cod. Nav. con riserva dell’Agenzia del Demanio – Direzione Regionale Marche.</w:t>
      </w:r>
    </w:p>
    <w:p w14:paraId="652824C6" w14:textId="77777777" w:rsidR="00571A3D" w:rsidRPr="00571A3D" w:rsidRDefault="00571A3D" w:rsidP="00571A3D">
      <w:pPr>
        <w:pStyle w:val="Paragrafoelenco"/>
        <w:numPr>
          <w:ilvl w:val="0"/>
          <w:numId w:val="13"/>
        </w:numPr>
        <w:suppressAutoHyphens/>
        <w:autoSpaceDN w:val="0"/>
        <w:spacing w:line="276" w:lineRule="auto"/>
        <w:textAlignment w:val="baseline"/>
        <w:rPr>
          <w:bCs/>
          <w:sz w:val="22"/>
          <w:szCs w:val="22"/>
        </w:rPr>
      </w:pPr>
      <w:r w:rsidRPr="00571A3D">
        <w:rPr>
          <w:bCs/>
          <w:sz w:val="22"/>
          <w:szCs w:val="22"/>
        </w:rPr>
        <w:t>L’Agenzia del Demanio – Direzione Regionale Marche – con la nota acquisita al prot. n. 15919-07/08/2025 ha sciolto la riserva comunicando il parere positivo all’incameramento ai sensi dell’art. 49 del C.d.N. del manufatto realizzato su demanio marittimo costituito da uno scalo di alaggio di 336 mq, ad eccezione della gru a braccio posizionata sul pontile.</w:t>
      </w:r>
    </w:p>
    <w:p w14:paraId="6A9E8C75" w14:textId="77777777" w:rsidR="00221726" w:rsidRPr="00010AA6" w:rsidRDefault="00221726" w:rsidP="00356323">
      <w:pPr>
        <w:spacing w:line="276" w:lineRule="auto"/>
        <w:rPr>
          <w:bCs/>
          <w:i/>
          <w:iCs/>
          <w:sz w:val="22"/>
          <w:szCs w:val="22"/>
        </w:rPr>
      </w:pPr>
    </w:p>
    <w:p w14:paraId="70AB5F40" w14:textId="77777777" w:rsidR="00221726" w:rsidRPr="00010AA6" w:rsidRDefault="00221726"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Entro i termini assegnati dall’avviso di cui sopra sono pervenute le seguenti domande concorrenti:</w:t>
      </w:r>
    </w:p>
    <w:p w14:paraId="79721701" w14:textId="32489A8E" w:rsidR="00221726" w:rsidRPr="00010AA6" w:rsidRDefault="00221726" w:rsidP="00356323">
      <w:pPr>
        <w:pStyle w:val="Paragrafoelenco"/>
        <w:numPr>
          <w:ilvl w:val="0"/>
          <w:numId w:val="13"/>
        </w:numPr>
        <w:spacing w:line="276" w:lineRule="auto"/>
        <w:rPr>
          <w:sz w:val="22"/>
          <w:szCs w:val="22"/>
        </w:rPr>
      </w:pPr>
      <w:r w:rsidRPr="00010AA6">
        <w:rPr>
          <w:sz w:val="22"/>
          <w:szCs w:val="22"/>
        </w:rPr>
        <w:t>Prot. 3129-21/02/2025</w:t>
      </w:r>
      <w:r w:rsidR="00BA41C2" w:rsidRPr="00010AA6">
        <w:rPr>
          <w:sz w:val="22"/>
          <w:szCs w:val="22"/>
        </w:rPr>
        <w:t xml:space="preserve"> -</w:t>
      </w:r>
      <w:r w:rsidRPr="00010AA6">
        <w:rPr>
          <w:sz w:val="22"/>
          <w:szCs w:val="22"/>
        </w:rPr>
        <w:t xml:space="preserve"> La Marina Dorica S.p.a., c.f./p.iva 01063560427</w:t>
      </w:r>
      <w:r w:rsidR="00BA41C2" w:rsidRPr="00010AA6">
        <w:rPr>
          <w:sz w:val="22"/>
          <w:szCs w:val="22"/>
        </w:rPr>
        <w:t>, con sede in Ancona, via G. Mascino n. 5/L</w:t>
      </w:r>
    </w:p>
    <w:p w14:paraId="28E96BD7" w14:textId="0EDD09EA" w:rsidR="00221726" w:rsidRPr="00010AA6" w:rsidRDefault="00221726" w:rsidP="00356323">
      <w:pPr>
        <w:pStyle w:val="Paragrafoelenco"/>
        <w:numPr>
          <w:ilvl w:val="0"/>
          <w:numId w:val="13"/>
        </w:numPr>
        <w:spacing w:line="276" w:lineRule="auto"/>
        <w:rPr>
          <w:sz w:val="22"/>
          <w:szCs w:val="22"/>
        </w:rPr>
      </w:pPr>
      <w:r w:rsidRPr="00010AA6">
        <w:rPr>
          <w:sz w:val="22"/>
          <w:szCs w:val="22"/>
        </w:rPr>
        <w:t xml:space="preserve">Prot. </w:t>
      </w:r>
      <w:r w:rsidR="00BA41C2" w:rsidRPr="00010AA6">
        <w:rPr>
          <w:sz w:val="22"/>
          <w:szCs w:val="22"/>
        </w:rPr>
        <w:t>2866-18/02/2025</w:t>
      </w:r>
      <w:r w:rsidRPr="00010AA6">
        <w:rPr>
          <w:sz w:val="22"/>
          <w:szCs w:val="22"/>
        </w:rPr>
        <w:t xml:space="preserve"> – </w:t>
      </w:r>
      <w:r w:rsidR="00BA41C2" w:rsidRPr="00010AA6">
        <w:rPr>
          <w:sz w:val="22"/>
          <w:szCs w:val="22"/>
        </w:rPr>
        <w:t>Nautica Tito Group S.r.l. c.f./p</w:t>
      </w:r>
      <w:r w:rsidRPr="00010AA6">
        <w:rPr>
          <w:sz w:val="22"/>
          <w:szCs w:val="22"/>
        </w:rPr>
        <w:t xml:space="preserve">.iva </w:t>
      </w:r>
      <w:r w:rsidR="00BA41C2" w:rsidRPr="00010AA6">
        <w:rPr>
          <w:sz w:val="22"/>
          <w:szCs w:val="22"/>
        </w:rPr>
        <w:t>02728560422, con sede in Ancona, via Maffeo Pantaleoni n. 10</w:t>
      </w:r>
    </w:p>
    <w:p w14:paraId="1DDACEEE" w14:textId="777D631D" w:rsidR="00221726" w:rsidRPr="00010AA6" w:rsidRDefault="00221726" w:rsidP="00356323">
      <w:pPr>
        <w:pStyle w:val="Paragrafoelenco"/>
        <w:numPr>
          <w:ilvl w:val="0"/>
          <w:numId w:val="13"/>
        </w:numPr>
        <w:spacing w:line="276" w:lineRule="auto"/>
        <w:rPr>
          <w:rFonts w:eastAsia="Times New Roman"/>
          <w:kern w:val="3"/>
          <w:sz w:val="22"/>
          <w:szCs w:val="22"/>
          <w:lang w:eastAsia="it-IT"/>
        </w:rPr>
      </w:pPr>
      <w:r w:rsidRPr="00010AA6">
        <w:rPr>
          <w:sz w:val="22"/>
          <w:szCs w:val="22"/>
        </w:rPr>
        <w:t xml:space="preserve">Prot. </w:t>
      </w:r>
      <w:r w:rsidR="00BA41C2" w:rsidRPr="00010AA6">
        <w:rPr>
          <w:sz w:val="22"/>
          <w:szCs w:val="22"/>
        </w:rPr>
        <w:t xml:space="preserve">3557-28/02/2025 </w:t>
      </w:r>
      <w:r w:rsidRPr="00010AA6">
        <w:rPr>
          <w:sz w:val="22"/>
          <w:szCs w:val="22"/>
        </w:rPr>
        <w:t>– Welcome Power S.r.l., c.f./p.iva 03002080426</w:t>
      </w:r>
      <w:r w:rsidR="00BA41C2" w:rsidRPr="00010AA6">
        <w:rPr>
          <w:sz w:val="22"/>
          <w:szCs w:val="22"/>
        </w:rPr>
        <w:t>, con sede in Ancona, via G. Mascino snc</w:t>
      </w:r>
    </w:p>
    <w:p w14:paraId="2CAA1129" w14:textId="77777777" w:rsidR="008848D7" w:rsidRPr="00010AA6" w:rsidRDefault="008848D7" w:rsidP="00356323">
      <w:pPr>
        <w:suppressAutoHyphens/>
        <w:autoSpaceDN w:val="0"/>
        <w:spacing w:line="276" w:lineRule="auto"/>
        <w:ind w:firstLine="720"/>
        <w:jc w:val="both"/>
        <w:textAlignment w:val="baseline"/>
        <w:rPr>
          <w:rFonts w:eastAsia="Times New Roman"/>
          <w:kern w:val="3"/>
          <w:sz w:val="22"/>
          <w:szCs w:val="22"/>
          <w:lang w:eastAsia="it-IT"/>
        </w:rPr>
      </w:pPr>
    </w:p>
    <w:p w14:paraId="2773768C" w14:textId="37441D2E" w:rsidR="00E44A29" w:rsidRPr="00010AA6" w:rsidRDefault="00EC2368"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 xml:space="preserve">Si rappresenta che, come meglio indicato nel prosieguo del presente disciplinare, oggetto della presente procedura </w:t>
      </w:r>
      <w:r w:rsidR="00915B72" w:rsidRPr="00010AA6">
        <w:rPr>
          <w:rFonts w:eastAsia="Times New Roman"/>
          <w:kern w:val="3"/>
          <w:sz w:val="22"/>
          <w:szCs w:val="22"/>
          <w:lang w:eastAsia="it-IT"/>
        </w:rPr>
        <w:t xml:space="preserve">sono </w:t>
      </w:r>
      <w:r w:rsidR="00571A3D">
        <w:rPr>
          <w:rFonts w:eastAsia="Times New Roman"/>
          <w:kern w:val="3"/>
          <w:sz w:val="22"/>
          <w:szCs w:val="22"/>
          <w:lang w:eastAsia="it-IT"/>
        </w:rPr>
        <w:t xml:space="preserve">esclusivamente </w:t>
      </w:r>
      <w:r w:rsidR="00915B72" w:rsidRPr="00010AA6">
        <w:rPr>
          <w:rFonts w:eastAsia="Times New Roman"/>
          <w:kern w:val="3"/>
          <w:sz w:val="22"/>
          <w:szCs w:val="22"/>
          <w:lang w:eastAsia="it-IT"/>
        </w:rPr>
        <w:t>le opere costituenti lo scalo di alaggio per mq. 336</w:t>
      </w:r>
      <w:r w:rsidR="00B6463A">
        <w:rPr>
          <w:rFonts w:eastAsia="Times New Roman"/>
          <w:kern w:val="3"/>
          <w:sz w:val="22"/>
          <w:szCs w:val="22"/>
          <w:lang w:eastAsia="it-IT"/>
        </w:rPr>
        <w:t xml:space="preserve">, oggetto di incameramento ai sensi di quanto sopra evidenziato </w:t>
      </w:r>
      <w:r w:rsidR="00915B72" w:rsidRPr="00010AA6">
        <w:rPr>
          <w:rFonts w:eastAsia="Times New Roman"/>
          <w:kern w:val="3"/>
          <w:sz w:val="22"/>
          <w:szCs w:val="22"/>
          <w:lang w:eastAsia="it-IT"/>
        </w:rPr>
        <w:t>e lo</w:t>
      </w:r>
      <w:r w:rsidR="00E44A29" w:rsidRPr="00010AA6">
        <w:rPr>
          <w:rFonts w:eastAsia="Times New Roman"/>
          <w:kern w:val="3"/>
          <w:sz w:val="22"/>
          <w:szCs w:val="22"/>
          <w:lang w:eastAsia="it-IT"/>
        </w:rPr>
        <w:t xml:space="preserve"> specchio acqueo </w:t>
      </w:r>
      <w:r w:rsidR="00915B72" w:rsidRPr="00010AA6">
        <w:rPr>
          <w:rFonts w:eastAsia="Times New Roman"/>
          <w:kern w:val="3"/>
          <w:sz w:val="22"/>
          <w:szCs w:val="22"/>
          <w:lang w:eastAsia="it-IT"/>
        </w:rPr>
        <w:t xml:space="preserve">antistante </w:t>
      </w:r>
      <w:r w:rsidR="00E44A29" w:rsidRPr="00010AA6">
        <w:rPr>
          <w:rFonts w:eastAsia="Times New Roman"/>
          <w:kern w:val="3"/>
          <w:sz w:val="22"/>
          <w:szCs w:val="22"/>
          <w:lang w:eastAsia="it-IT"/>
        </w:rPr>
        <w:t xml:space="preserve">di mq. </w:t>
      </w:r>
      <w:r w:rsidR="00915B72" w:rsidRPr="00010AA6">
        <w:rPr>
          <w:rFonts w:eastAsia="Times New Roman"/>
          <w:kern w:val="3"/>
          <w:sz w:val="22"/>
          <w:szCs w:val="22"/>
          <w:lang w:eastAsia="it-IT"/>
        </w:rPr>
        <w:t>70</w:t>
      </w:r>
      <w:r w:rsidR="00E44A29" w:rsidRPr="00010AA6">
        <w:rPr>
          <w:rFonts w:eastAsia="Times New Roman"/>
          <w:kern w:val="3"/>
          <w:sz w:val="22"/>
          <w:szCs w:val="22"/>
          <w:lang w:eastAsia="it-IT"/>
        </w:rPr>
        <w:t>,00</w:t>
      </w:r>
      <w:r w:rsidR="00A1280B">
        <w:rPr>
          <w:rFonts w:eastAsia="Times New Roman"/>
          <w:kern w:val="3"/>
          <w:sz w:val="22"/>
          <w:szCs w:val="22"/>
          <w:lang w:eastAsia="it-IT"/>
        </w:rPr>
        <w:t>;</w:t>
      </w:r>
      <w:r w:rsidR="00E44A29" w:rsidRPr="00010AA6">
        <w:rPr>
          <w:rFonts w:eastAsia="Times New Roman"/>
          <w:kern w:val="3"/>
          <w:sz w:val="22"/>
          <w:szCs w:val="22"/>
          <w:lang w:eastAsia="it-IT"/>
        </w:rPr>
        <w:t xml:space="preserve"> le </w:t>
      </w:r>
      <w:r w:rsidR="00B6463A">
        <w:rPr>
          <w:rFonts w:eastAsia="Times New Roman"/>
          <w:kern w:val="3"/>
          <w:sz w:val="22"/>
          <w:szCs w:val="22"/>
          <w:lang w:eastAsia="it-IT"/>
        </w:rPr>
        <w:t>ulteriori e</w:t>
      </w:r>
      <w:r w:rsidR="00A1280B">
        <w:rPr>
          <w:rFonts w:eastAsia="Times New Roman"/>
          <w:kern w:val="3"/>
          <w:sz w:val="22"/>
          <w:szCs w:val="22"/>
          <w:lang w:eastAsia="it-IT"/>
        </w:rPr>
        <w:t xml:space="preserve">d eventuali </w:t>
      </w:r>
      <w:r w:rsidR="00E44A29" w:rsidRPr="00010AA6">
        <w:rPr>
          <w:rFonts w:eastAsia="Times New Roman"/>
          <w:kern w:val="3"/>
          <w:sz w:val="22"/>
          <w:szCs w:val="22"/>
          <w:lang w:eastAsia="it-IT"/>
        </w:rPr>
        <w:t>opere di facile rimozione sono di proprietà del soggetto già titolare del precedente titolo concessorio.</w:t>
      </w:r>
    </w:p>
    <w:p w14:paraId="58F5FAF1" w14:textId="77777777" w:rsidR="00C84478" w:rsidRPr="00010AA6" w:rsidRDefault="00C84478" w:rsidP="00356323">
      <w:pPr>
        <w:suppressAutoHyphens/>
        <w:autoSpaceDN w:val="0"/>
        <w:spacing w:line="276" w:lineRule="auto"/>
        <w:ind w:firstLine="720"/>
        <w:jc w:val="both"/>
        <w:textAlignment w:val="baseline"/>
        <w:rPr>
          <w:rFonts w:eastAsia="Times New Roman"/>
          <w:kern w:val="3"/>
          <w:sz w:val="22"/>
          <w:szCs w:val="22"/>
          <w:lang w:eastAsia="it-IT"/>
        </w:rPr>
      </w:pPr>
    </w:p>
    <w:p w14:paraId="3B33F490" w14:textId="164C2D5C" w:rsidR="005C314E" w:rsidRPr="00010AA6" w:rsidRDefault="005C314E"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Tanto premesso, tenuto conto che nei termini non sono pervenute ulteriori domande concorrenti, questa Autorità ha, quindi, ritenuto le domande comparabili nell’ambito della presente procedura.</w:t>
      </w:r>
    </w:p>
    <w:p w14:paraId="533A02CA" w14:textId="776107DE" w:rsidR="005C314E" w:rsidRPr="00010AA6" w:rsidRDefault="005C314E"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 xml:space="preserve">Orbene, in presenza di domande concorrenti sul medesimo </w:t>
      </w:r>
      <w:r w:rsidR="00E44A29" w:rsidRPr="00010AA6">
        <w:rPr>
          <w:rFonts w:eastAsia="Times New Roman"/>
          <w:kern w:val="3"/>
          <w:sz w:val="22"/>
          <w:szCs w:val="22"/>
          <w:lang w:eastAsia="it-IT"/>
        </w:rPr>
        <w:t>bene demaniale</w:t>
      </w:r>
      <w:r w:rsidRPr="00010AA6">
        <w:rPr>
          <w:rFonts w:eastAsia="Times New Roman"/>
          <w:kern w:val="3"/>
          <w:sz w:val="22"/>
          <w:szCs w:val="22"/>
          <w:lang w:eastAsia="it-IT"/>
        </w:rPr>
        <w:t>, rilevate le finalità parimenti meritevoli di tutela cui tende l’esercizio della concessione demaniale cui le suddette società aspirano, risulta necessario procedere all’espletamento di procedura comparativa ai sensi dell’art. 37 Cod. Nav.</w:t>
      </w:r>
    </w:p>
    <w:p w14:paraId="7A86D4CB" w14:textId="605C1E7C" w:rsidR="005C314E" w:rsidRPr="00010AA6" w:rsidRDefault="005C314E" w:rsidP="00356323">
      <w:pPr>
        <w:suppressAutoHyphens/>
        <w:autoSpaceDN w:val="0"/>
        <w:spacing w:line="276" w:lineRule="auto"/>
        <w:ind w:firstLine="720"/>
        <w:jc w:val="both"/>
        <w:textAlignment w:val="baseline"/>
        <w:rPr>
          <w:rFonts w:eastAsia="Times New Roman"/>
          <w:kern w:val="3"/>
          <w:sz w:val="22"/>
          <w:szCs w:val="22"/>
          <w:lang w:eastAsia="it-IT"/>
        </w:rPr>
      </w:pPr>
      <w:r w:rsidRPr="00010AA6">
        <w:rPr>
          <w:rFonts w:eastAsia="Times New Roman"/>
          <w:kern w:val="3"/>
          <w:sz w:val="22"/>
          <w:szCs w:val="22"/>
          <w:lang w:eastAsia="it-IT"/>
        </w:rPr>
        <w:t xml:space="preserve">Sulla scorta di quanto sopra, in ragione dell’esigenza di rispettare i principi di matrice giurisprudenziale ed eurounitari di trasparenza, non discriminazione, parità di trattamento e massima concorrenza, posti a tutela sia del favor partecipationis che della par condicio tra i concorrenti, questa Autorità con il presente disciplinare intende individuare i criteri e le modalità con cui addiverrà alla scelta del concessionario aggiudicatario della area sopra indicata, mediante </w:t>
      </w:r>
      <w:r w:rsidRPr="00010AA6">
        <w:rPr>
          <w:rFonts w:eastAsia="Times New Roman"/>
          <w:kern w:val="3"/>
          <w:sz w:val="22"/>
          <w:szCs w:val="22"/>
          <w:lang w:eastAsia="it-IT"/>
        </w:rPr>
        <w:lastRenderedPageBreak/>
        <w:t xml:space="preserve">procedura comparativa ai sensi dell’art. 37 Cod. Nav. </w:t>
      </w:r>
      <w:r w:rsidR="00181241" w:rsidRPr="00010AA6">
        <w:rPr>
          <w:rFonts w:eastAsia="Times New Roman"/>
          <w:kern w:val="3"/>
          <w:sz w:val="22"/>
          <w:szCs w:val="22"/>
          <w:lang w:eastAsia="it-IT"/>
        </w:rPr>
        <w:t>conformemente a quanto previsto n</w:t>
      </w:r>
      <w:r w:rsidRPr="00010AA6">
        <w:rPr>
          <w:rFonts w:eastAsia="Times New Roman"/>
          <w:kern w:val="3"/>
          <w:sz w:val="22"/>
          <w:szCs w:val="22"/>
          <w:lang w:eastAsia="it-IT"/>
        </w:rPr>
        <w:t>ell’Ordinanza Presidenziale n. 74/2020 del 02/10/2020 come da ultimo modificata con Ordinanza del Commissario Straordinario n. 22 del 29/09/2021, che ha approvato e reso esecutivo il Regolamento di Amministrazione del Demanio dei porti di competenza di questa Autorità di Sistema Portuale.</w:t>
      </w:r>
    </w:p>
    <w:p w14:paraId="2CCD0E27" w14:textId="0374E1DA" w:rsidR="005C314E" w:rsidRPr="00010AA6" w:rsidRDefault="005C314E" w:rsidP="00356323">
      <w:pPr>
        <w:spacing w:line="276" w:lineRule="auto"/>
        <w:ind w:firstLine="709"/>
        <w:jc w:val="both"/>
        <w:rPr>
          <w:sz w:val="22"/>
          <w:szCs w:val="22"/>
        </w:rPr>
      </w:pPr>
      <w:r w:rsidRPr="00010AA6">
        <w:rPr>
          <w:sz w:val="22"/>
          <w:szCs w:val="22"/>
        </w:rPr>
        <w:t xml:space="preserve">Sulla scorta delle superiori premesse, con la presente si avvia </w:t>
      </w:r>
      <w:r w:rsidR="00181241" w:rsidRPr="00010AA6">
        <w:rPr>
          <w:sz w:val="22"/>
          <w:szCs w:val="22"/>
        </w:rPr>
        <w:t xml:space="preserve">la </w:t>
      </w:r>
      <w:r w:rsidRPr="00010AA6">
        <w:rPr>
          <w:sz w:val="22"/>
          <w:szCs w:val="22"/>
        </w:rPr>
        <w:t>procedura comparativa tra le istanze interposte dagli operatori, così come sopra individuati, con contestuale richiesta ai concorrenti, aspiranti concessionari, della documentazione tecnica/amministrativa, meglio delineata e dettagliata nel prosieguo del presente disciplinare.</w:t>
      </w:r>
    </w:p>
    <w:p w14:paraId="5311D370" w14:textId="77777777" w:rsidR="005C314E" w:rsidRPr="00010AA6" w:rsidRDefault="005C314E" w:rsidP="00356323">
      <w:pPr>
        <w:suppressAutoHyphens/>
        <w:autoSpaceDN w:val="0"/>
        <w:spacing w:line="276" w:lineRule="auto"/>
        <w:ind w:firstLine="720"/>
        <w:jc w:val="both"/>
        <w:textAlignment w:val="baseline"/>
        <w:rPr>
          <w:rFonts w:eastAsia="Times New Roman"/>
          <w:kern w:val="3"/>
          <w:sz w:val="22"/>
          <w:szCs w:val="22"/>
          <w:lang w:eastAsia="it-IT"/>
        </w:rPr>
      </w:pPr>
    </w:p>
    <w:p w14:paraId="2004872F" w14:textId="77777777" w:rsidR="005C314E" w:rsidRPr="00010AA6" w:rsidRDefault="005C314E" w:rsidP="00356323">
      <w:pPr>
        <w:spacing w:line="276" w:lineRule="auto"/>
        <w:jc w:val="center"/>
        <w:rPr>
          <w:b/>
          <w:sz w:val="22"/>
          <w:szCs w:val="22"/>
        </w:rPr>
      </w:pPr>
      <w:r w:rsidRPr="00010AA6">
        <w:rPr>
          <w:b/>
          <w:sz w:val="22"/>
          <w:szCs w:val="22"/>
        </w:rPr>
        <w:t>CONDIZIONI DISCIPLINANTI LA PROCEDURA COMPARATIVA</w:t>
      </w:r>
    </w:p>
    <w:p w14:paraId="68C2CE31" w14:textId="77777777" w:rsidR="005C314E" w:rsidRPr="00010AA6" w:rsidRDefault="005C314E" w:rsidP="00356323">
      <w:pPr>
        <w:spacing w:line="276" w:lineRule="auto"/>
        <w:jc w:val="center"/>
        <w:rPr>
          <w:sz w:val="22"/>
          <w:szCs w:val="22"/>
        </w:rPr>
      </w:pPr>
    </w:p>
    <w:p w14:paraId="146D2FE1" w14:textId="6ED30650" w:rsidR="005C314E" w:rsidRPr="00010AA6" w:rsidRDefault="005C314E" w:rsidP="00356323">
      <w:pPr>
        <w:spacing w:line="276" w:lineRule="auto"/>
        <w:jc w:val="both"/>
        <w:rPr>
          <w:sz w:val="22"/>
          <w:szCs w:val="22"/>
        </w:rPr>
      </w:pPr>
      <w:r w:rsidRPr="00010AA6">
        <w:rPr>
          <w:sz w:val="22"/>
          <w:szCs w:val="22"/>
        </w:rPr>
        <w:t xml:space="preserve">Il disciplinare della presente procedura comparativa si articola </w:t>
      </w:r>
      <w:r w:rsidR="00571A3D">
        <w:rPr>
          <w:sz w:val="22"/>
          <w:szCs w:val="22"/>
        </w:rPr>
        <w:t>nelle seguenti</w:t>
      </w:r>
      <w:r w:rsidRPr="00010AA6">
        <w:rPr>
          <w:sz w:val="22"/>
          <w:szCs w:val="22"/>
        </w:rPr>
        <w:t xml:space="preserve"> tre diverse sezioni:</w:t>
      </w:r>
    </w:p>
    <w:p w14:paraId="3BD28ACD" w14:textId="77777777" w:rsidR="005C314E" w:rsidRPr="00010AA6" w:rsidRDefault="005C314E" w:rsidP="00356323">
      <w:pPr>
        <w:spacing w:line="276" w:lineRule="auto"/>
        <w:jc w:val="both"/>
        <w:rPr>
          <w:sz w:val="22"/>
          <w:szCs w:val="22"/>
        </w:rPr>
      </w:pPr>
    </w:p>
    <w:p w14:paraId="1723BFEE" w14:textId="77777777" w:rsidR="005C314E" w:rsidRPr="00010AA6" w:rsidRDefault="005C314E" w:rsidP="00356323">
      <w:pPr>
        <w:numPr>
          <w:ilvl w:val="0"/>
          <w:numId w:val="2"/>
        </w:numPr>
        <w:spacing w:line="276" w:lineRule="auto"/>
        <w:jc w:val="both"/>
        <w:rPr>
          <w:sz w:val="22"/>
          <w:szCs w:val="22"/>
        </w:rPr>
      </w:pPr>
      <w:r w:rsidRPr="00010AA6">
        <w:rPr>
          <w:sz w:val="22"/>
          <w:szCs w:val="22"/>
        </w:rPr>
        <w:t>Condizioni di ammissione alla procedura;</w:t>
      </w:r>
    </w:p>
    <w:p w14:paraId="5186BEB0" w14:textId="77777777" w:rsidR="005C314E" w:rsidRPr="00010AA6" w:rsidRDefault="005C314E" w:rsidP="00356323">
      <w:pPr>
        <w:numPr>
          <w:ilvl w:val="0"/>
          <w:numId w:val="2"/>
        </w:numPr>
        <w:spacing w:line="276" w:lineRule="auto"/>
        <w:jc w:val="both"/>
        <w:rPr>
          <w:sz w:val="22"/>
          <w:szCs w:val="22"/>
        </w:rPr>
      </w:pPr>
      <w:r w:rsidRPr="00010AA6">
        <w:rPr>
          <w:sz w:val="22"/>
          <w:szCs w:val="22"/>
        </w:rPr>
        <w:t>Procedura di aggiudicazione;</w:t>
      </w:r>
    </w:p>
    <w:p w14:paraId="394E4CBD" w14:textId="77777777" w:rsidR="005C314E" w:rsidRPr="00010AA6" w:rsidRDefault="005C314E" w:rsidP="00356323">
      <w:pPr>
        <w:numPr>
          <w:ilvl w:val="0"/>
          <w:numId w:val="2"/>
        </w:numPr>
        <w:spacing w:line="276" w:lineRule="auto"/>
        <w:jc w:val="both"/>
        <w:rPr>
          <w:sz w:val="22"/>
          <w:szCs w:val="22"/>
        </w:rPr>
      </w:pPr>
      <w:r w:rsidRPr="00010AA6">
        <w:rPr>
          <w:sz w:val="22"/>
          <w:szCs w:val="22"/>
        </w:rPr>
        <w:t>Adempimenti successivi alla aggiudicazione.</w:t>
      </w:r>
    </w:p>
    <w:p w14:paraId="0BE2D098" w14:textId="77777777" w:rsidR="005C314E" w:rsidRPr="00010AA6" w:rsidRDefault="005C314E" w:rsidP="00356323">
      <w:pPr>
        <w:spacing w:line="276" w:lineRule="auto"/>
        <w:jc w:val="both"/>
        <w:rPr>
          <w:sz w:val="22"/>
          <w:szCs w:val="22"/>
        </w:rPr>
      </w:pPr>
    </w:p>
    <w:p w14:paraId="17691A35" w14:textId="77777777" w:rsidR="005C314E" w:rsidRPr="00010AA6" w:rsidRDefault="005C314E" w:rsidP="00356323">
      <w:pPr>
        <w:spacing w:line="276" w:lineRule="auto"/>
        <w:jc w:val="center"/>
        <w:rPr>
          <w:b/>
          <w:sz w:val="22"/>
          <w:szCs w:val="22"/>
        </w:rPr>
      </w:pPr>
      <w:r w:rsidRPr="00010AA6">
        <w:rPr>
          <w:b/>
          <w:sz w:val="22"/>
          <w:szCs w:val="22"/>
        </w:rPr>
        <w:t>CONDIZIONI DI AMMISSIONE ALLA PROCEDURA COMPARATIVA</w:t>
      </w:r>
    </w:p>
    <w:p w14:paraId="361F2591" w14:textId="77777777" w:rsidR="005C314E" w:rsidRPr="00010AA6" w:rsidRDefault="005C314E" w:rsidP="00356323">
      <w:pPr>
        <w:spacing w:line="276" w:lineRule="auto"/>
        <w:jc w:val="center"/>
        <w:rPr>
          <w:b/>
          <w:sz w:val="22"/>
          <w:szCs w:val="22"/>
        </w:rPr>
      </w:pPr>
      <w:r w:rsidRPr="00010AA6">
        <w:rPr>
          <w:b/>
          <w:sz w:val="22"/>
          <w:szCs w:val="22"/>
        </w:rPr>
        <w:t>IL MANCATO ADEMPIMENTO ALLE SOTTO ESTESE CONDIZIONI PARTECIPATIVE COMPORTERA’ L’ESCLUSIONE DALLA PROCEDURA COMPARATIVA.</w:t>
      </w:r>
    </w:p>
    <w:p w14:paraId="0F76D5FB" w14:textId="77777777" w:rsidR="005C314E" w:rsidRPr="00010AA6" w:rsidRDefault="005C314E" w:rsidP="00356323">
      <w:pPr>
        <w:spacing w:line="276" w:lineRule="auto"/>
        <w:jc w:val="both"/>
        <w:rPr>
          <w:b/>
          <w:sz w:val="22"/>
          <w:szCs w:val="22"/>
        </w:rPr>
      </w:pPr>
    </w:p>
    <w:p w14:paraId="7A0768BB" w14:textId="5AEC0E77" w:rsidR="00B378E2" w:rsidRPr="00010AA6" w:rsidRDefault="00806BB9" w:rsidP="00356323">
      <w:pPr>
        <w:pStyle w:val="Paragrafoelenco"/>
        <w:numPr>
          <w:ilvl w:val="0"/>
          <w:numId w:val="3"/>
        </w:numPr>
        <w:spacing w:line="276" w:lineRule="auto"/>
        <w:ind w:right="6"/>
        <w:rPr>
          <w:sz w:val="22"/>
          <w:szCs w:val="22"/>
        </w:rPr>
      </w:pPr>
      <w:r w:rsidRPr="00010AA6">
        <w:rPr>
          <w:b/>
          <w:bCs/>
          <w:sz w:val="22"/>
          <w:szCs w:val="22"/>
        </w:rPr>
        <w:t>Oggetto</w:t>
      </w:r>
      <w:r w:rsidRPr="00010AA6">
        <w:rPr>
          <w:sz w:val="22"/>
          <w:szCs w:val="22"/>
        </w:rPr>
        <w:t xml:space="preserve">: </w:t>
      </w:r>
      <w:r w:rsidR="008A1960" w:rsidRPr="00010AA6">
        <w:rPr>
          <w:sz w:val="22"/>
          <w:szCs w:val="22"/>
        </w:rPr>
        <w:t xml:space="preserve">opere di difficile rimozione in corso di incameramento per mq. 336,00 e </w:t>
      </w:r>
      <w:r w:rsidR="00E44A29" w:rsidRPr="00010AA6">
        <w:rPr>
          <w:sz w:val="22"/>
          <w:szCs w:val="22"/>
        </w:rPr>
        <w:t xml:space="preserve">specchio acqueo di mq. </w:t>
      </w:r>
      <w:r w:rsidR="008A1960" w:rsidRPr="00010AA6">
        <w:rPr>
          <w:sz w:val="22"/>
          <w:szCs w:val="22"/>
        </w:rPr>
        <w:t>70</w:t>
      </w:r>
      <w:r w:rsidR="00E44A29" w:rsidRPr="00010AA6">
        <w:rPr>
          <w:sz w:val="22"/>
          <w:szCs w:val="22"/>
        </w:rPr>
        <w:t>,00</w:t>
      </w:r>
      <w:r w:rsidR="00B378E2" w:rsidRPr="00010AA6">
        <w:rPr>
          <w:sz w:val="22"/>
          <w:szCs w:val="22"/>
        </w:rPr>
        <w:t>.</w:t>
      </w:r>
    </w:p>
    <w:p w14:paraId="5FF04A29" w14:textId="0F3E6CFB" w:rsidR="008A1960" w:rsidRDefault="00B378E2" w:rsidP="00356323">
      <w:pPr>
        <w:pStyle w:val="Paragrafoelenco"/>
        <w:spacing w:line="276" w:lineRule="auto"/>
        <w:ind w:left="360" w:right="6"/>
        <w:rPr>
          <w:sz w:val="22"/>
          <w:szCs w:val="22"/>
        </w:rPr>
      </w:pPr>
      <w:r w:rsidRPr="00010AA6">
        <w:rPr>
          <w:sz w:val="22"/>
          <w:szCs w:val="22"/>
        </w:rPr>
        <w:t>Sono escluse dall’oggetto le opere di facile rimozione ricadenti di proprietà del precedente concessionario consistenti in</w:t>
      </w:r>
      <w:r w:rsidR="00F832AA" w:rsidRPr="00010AA6">
        <w:rPr>
          <w:sz w:val="22"/>
          <w:szCs w:val="22"/>
        </w:rPr>
        <w:t xml:space="preserve"> </w:t>
      </w:r>
      <w:r w:rsidR="00E44A29" w:rsidRPr="00010AA6">
        <w:rPr>
          <w:sz w:val="22"/>
          <w:szCs w:val="22"/>
        </w:rPr>
        <w:t>pontil</w:t>
      </w:r>
      <w:r w:rsidR="008A1960" w:rsidRPr="00010AA6">
        <w:rPr>
          <w:sz w:val="22"/>
          <w:szCs w:val="22"/>
        </w:rPr>
        <w:t>e</w:t>
      </w:r>
      <w:r w:rsidR="00E44A29" w:rsidRPr="00010AA6">
        <w:rPr>
          <w:sz w:val="22"/>
          <w:szCs w:val="22"/>
        </w:rPr>
        <w:t xml:space="preserve"> galleggiant</w:t>
      </w:r>
      <w:r w:rsidR="008A1960" w:rsidRPr="00010AA6">
        <w:rPr>
          <w:sz w:val="22"/>
          <w:szCs w:val="22"/>
        </w:rPr>
        <w:t>e e della gru a braccio.</w:t>
      </w:r>
    </w:p>
    <w:p w14:paraId="7EA3E64D" w14:textId="77777777" w:rsidR="00571A3D" w:rsidRPr="00571A3D" w:rsidRDefault="00571A3D" w:rsidP="00571A3D">
      <w:pPr>
        <w:pStyle w:val="Paragrafoelenco"/>
        <w:numPr>
          <w:ilvl w:val="0"/>
          <w:numId w:val="3"/>
        </w:numPr>
        <w:spacing w:line="276" w:lineRule="auto"/>
        <w:ind w:right="6"/>
        <w:rPr>
          <w:sz w:val="22"/>
          <w:szCs w:val="22"/>
        </w:rPr>
      </w:pPr>
      <w:r w:rsidRPr="00571A3D">
        <w:rPr>
          <w:sz w:val="22"/>
          <w:szCs w:val="22"/>
          <w:u w:val="single"/>
        </w:rPr>
        <w:t>Si precisa che le porzioni di specchio acqueo ricomprese tra i pontili costituenti lo scalo di alaggio e quelli situati in adiacenza allo stesso, fatta salva la porzione di mq. 70,00 sopra indicata, non sono ricompresi tra gli oggetti della presente procedura perché facente parte della concessione per Atto Formale n. 10/2002 intestato alla società La Marina Dorica S.p.a. - c.f./p.iva 01063560427</w:t>
      </w:r>
      <w:r w:rsidRPr="00571A3D">
        <w:rPr>
          <w:sz w:val="22"/>
          <w:szCs w:val="22"/>
        </w:rPr>
        <w:t>.</w:t>
      </w:r>
    </w:p>
    <w:p w14:paraId="21E5DD70" w14:textId="28BFBED2" w:rsidR="00571A3D" w:rsidRPr="00571A3D" w:rsidRDefault="00571A3D" w:rsidP="00571A3D">
      <w:pPr>
        <w:pStyle w:val="Paragrafoelenco"/>
        <w:numPr>
          <w:ilvl w:val="0"/>
          <w:numId w:val="3"/>
        </w:numPr>
        <w:spacing w:line="276" w:lineRule="auto"/>
        <w:ind w:right="6"/>
        <w:rPr>
          <w:sz w:val="22"/>
          <w:szCs w:val="22"/>
        </w:rPr>
      </w:pPr>
      <w:r w:rsidRPr="00571A3D">
        <w:rPr>
          <w:sz w:val="22"/>
          <w:szCs w:val="22"/>
        </w:rPr>
        <w:t xml:space="preserve">Si comunica </w:t>
      </w:r>
      <w:r>
        <w:rPr>
          <w:sz w:val="22"/>
          <w:szCs w:val="22"/>
        </w:rPr>
        <w:t xml:space="preserve">inoltre </w:t>
      </w:r>
      <w:r w:rsidRPr="00571A3D">
        <w:rPr>
          <w:sz w:val="22"/>
          <w:szCs w:val="22"/>
        </w:rPr>
        <w:t>che nella relazione tecnica datata 20/09/2010 del progetto di recupero dello scalo è stata indicata nel paragrafo “ipotesi di carico” una portata massima del carroponte di 14 tonnellate ed un peso stimato del carroponte di 6 tonnellate.</w:t>
      </w:r>
    </w:p>
    <w:p w14:paraId="073DC29C" w14:textId="2DE61D72" w:rsidR="005C314E" w:rsidRPr="00010AA6" w:rsidRDefault="005C314E" w:rsidP="00356323">
      <w:pPr>
        <w:pStyle w:val="Paragrafoelenco"/>
        <w:numPr>
          <w:ilvl w:val="0"/>
          <w:numId w:val="3"/>
        </w:numPr>
        <w:spacing w:line="276" w:lineRule="auto"/>
        <w:ind w:right="6"/>
        <w:rPr>
          <w:sz w:val="22"/>
          <w:szCs w:val="22"/>
        </w:rPr>
      </w:pPr>
      <w:r w:rsidRPr="00010AA6">
        <w:rPr>
          <w:b/>
          <w:bCs/>
          <w:sz w:val="22"/>
          <w:szCs w:val="22"/>
        </w:rPr>
        <w:t>Scopo</w:t>
      </w:r>
      <w:r w:rsidRPr="00010AA6">
        <w:rPr>
          <w:sz w:val="22"/>
          <w:szCs w:val="22"/>
        </w:rPr>
        <w:t xml:space="preserve"> della concessione richiesta: </w:t>
      </w:r>
      <w:r w:rsidR="00571A3D">
        <w:rPr>
          <w:sz w:val="22"/>
          <w:szCs w:val="22"/>
        </w:rPr>
        <w:t xml:space="preserve">utilizzo dello </w:t>
      </w:r>
      <w:r w:rsidR="008A1960" w:rsidRPr="00010AA6">
        <w:rPr>
          <w:sz w:val="22"/>
          <w:szCs w:val="22"/>
        </w:rPr>
        <w:t xml:space="preserve">scalo per alaggio e varo </w:t>
      </w:r>
      <w:r w:rsidR="00C84478" w:rsidRPr="00010AA6">
        <w:rPr>
          <w:sz w:val="22"/>
          <w:szCs w:val="22"/>
        </w:rPr>
        <w:t xml:space="preserve">di </w:t>
      </w:r>
      <w:r w:rsidR="008A1960" w:rsidRPr="00010AA6">
        <w:rPr>
          <w:sz w:val="22"/>
          <w:szCs w:val="22"/>
        </w:rPr>
        <w:t>imba</w:t>
      </w:r>
      <w:r w:rsidR="00C84478" w:rsidRPr="00010AA6">
        <w:rPr>
          <w:sz w:val="22"/>
          <w:szCs w:val="22"/>
        </w:rPr>
        <w:t>r</w:t>
      </w:r>
      <w:r w:rsidR="008A1960" w:rsidRPr="00010AA6">
        <w:rPr>
          <w:sz w:val="22"/>
          <w:szCs w:val="22"/>
        </w:rPr>
        <w:t>cazioni</w:t>
      </w:r>
    </w:p>
    <w:p w14:paraId="1C51BEEE" w14:textId="3BE3263A" w:rsidR="000C0547" w:rsidRPr="00010AA6" w:rsidRDefault="000C0547" w:rsidP="00356323">
      <w:pPr>
        <w:pStyle w:val="Paragrafoelenco"/>
        <w:numPr>
          <w:ilvl w:val="0"/>
          <w:numId w:val="3"/>
        </w:numPr>
        <w:spacing w:line="276" w:lineRule="auto"/>
        <w:ind w:right="6"/>
        <w:rPr>
          <w:sz w:val="22"/>
          <w:szCs w:val="22"/>
        </w:rPr>
      </w:pPr>
      <w:r w:rsidRPr="00010AA6">
        <w:rPr>
          <w:b/>
          <w:bCs/>
          <w:sz w:val="22"/>
          <w:szCs w:val="22"/>
        </w:rPr>
        <w:t xml:space="preserve">Durata: </w:t>
      </w:r>
      <w:r w:rsidRPr="00010AA6">
        <w:rPr>
          <w:sz w:val="22"/>
          <w:szCs w:val="22"/>
        </w:rPr>
        <w:t>La durata della concessione demaniale marittima è fissata in anni 4, con esclusione di qualsivoglia rinnovo automatico e con diversa decorrenza in ragione della diversa declinazione delle domande interposte dai soggetti concorrenti ammessi alla presente procedura comparativa:</w:t>
      </w:r>
    </w:p>
    <w:p w14:paraId="07166D88" w14:textId="29EBCB7F" w:rsidR="000C0547" w:rsidRPr="00010AA6" w:rsidRDefault="000C0547" w:rsidP="00356323">
      <w:pPr>
        <w:pStyle w:val="Paragrafoelenco"/>
        <w:numPr>
          <w:ilvl w:val="0"/>
          <w:numId w:val="4"/>
        </w:numPr>
        <w:spacing w:line="276" w:lineRule="auto"/>
        <w:ind w:right="6"/>
        <w:rPr>
          <w:sz w:val="22"/>
          <w:szCs w:val="22"/>
        </w:rPr>
      </w:pPr>
      <w:r w:rsidRPr="00010AA6">
        <w:rPr>
          <w:sz w:val="22"/>
          <w:szCs w:val="22"/>
        </w:rPr>
        <w:t>Dal 01/01/202</w:t>
      </w:r>
      <w:r w:rsidR="008A1960" w:rsidRPr="00010AA6">
        <w:rPr>
          <w:sz w:val="22"/>
          <w:szCs w:val="22"/>
        </w:rPr>
        <w:t>5</w:t>
      </w:r>
      <w:r w:rsidRPr="00010AA6">
        <w:rPr>
          <w:sz w:val="22"/>
          <w:szCs w:val="22"/>
        </w:rPr>
        <w:t xml:space="preserve"> nel caso in cui il soggetto aggiudicatario sia il concessionario uscente </w:t>
      </w:r>
      <w:r w:rsidR="008A1960" w:rsidRPr="00010AA6">
        <w:rPr>
          <w:rFonts w:eastAsia="Times New Roman"/>
          <w:kern w:val="3"/>
          <w:sz w:val="22"/>
          <w:szCs w:val="22"/>
          <w:lang w:eastAsia="it-IT"/>
        </w:rPr>
        <w:t>Nautiservice S.r.l.” - c.f./p.iva 00093450427</w:t>
      </w:r>
      <w:r w:rsidRPr="00010AA6">
        <w:rPr>
          <w:sz w:val="22"/>
          <w:szCs w:val="22"/>
        </w:rPr>
        <w:t xml:space="preserve"> considerato che la domanda di </w:t>
      </w:r>
      <w:r w:rsidRPr="00010AA6">
        <w:rPr>
          <w:sz w:val="22"/>
          <w:szCs w:val="22"/>
        </w:rPr>
        <w:lastRenderedPageBreak/>
        <w:t>rilascio del nuovo titolo in rinnovazione del precedente è intervenuta entro il termine di scadenza della concessione all’epoca vigente.</w:t>
      </w:r>
    </w:p>
    <w:p w14:paraId="2000EAEF" w14:textId="2C515259" w:rsidR="000C0547" w:rsidRPr="00010AA6" w:rsidRDefault="000C0547" w:rsidP="00356323">
      <w:pPr>
        <w:pStyle w:val="Paragrafoelenco"/>
        <w:numPr>
          <w:ilvl w:val="0"/>
          <w:numId w:val="4"/>
        </w:numPr>
        <w:spacing w:line="276" w:lineRule="auto"/>
        <w:ind w:right="6"/>
        <w:rPr>
          <w:sz w:val="22"/>
          <w:szCs w:val="22"/>
        </w:rPr>
      </w:pPr>
      <w:r w:rsidRPr="00010AA6">
        <w:rPr>
          <w:sz w:val="22"/>
          <w:szCs w:val="22"/>
        </w:rPr>
        <w:t xml:space="preserve">Dal rilascio del titolo concessorio </w:t>
      </w:r>
      <w:r w:rsidR="00A1280B">
        <w:rPr>
          <w:sz w:val="22"/>
          <w:szCs w:val="22"/>
        </w:rPr>
        <w:t>e comunque dal primo gennaio 2026 -</w:t>
      </w:r>
      <w:r w:rsidRPr="00010AA6">
        <w:rPr>
          <w:sz w:val="22"/>
          <w:szCs w:val="22"/>
        </w:rPr>
        <w:t xml:space="preserve">nel caso in cui il soggetto aggiudicatario sia </w:t>
      </w:r>
      <w:r w:rsidR="00E44A29" w:rsidRPr="00010AA6">
        <w:rPr>
          <w:sz w:val="22"/>
          <w:szCs w:val="22"/>
        </w:rPr>
        <w:t xml:space="preserve">una delle </w:t>
      </w:r>
      <w:r w:rsidRPr="00010AA6">
        <w:rPr>
          <w:sz w:val="22"/>
          <w:szCs w:val="22"/>
        </w:rPr>
        <w:t>società aspirant</w:t>
      </w:r>
      <w:r w:rsidR="00571A3D">
        <w:rPr>
          <w:sz w:val="22"/>
          <w:szCs w:val="22"/>
        </w:rPr>
        <w:t>i</w:t>
      </w:r>
      <w:r w:rsidRPr="00010AA6">
        <w:rPr>
          <w:sz w:val="22"/>
          <w:szCs w:val="22"/>
        </w:rPr>
        <w:t xml:space="preserve"> concessionari</w:t>
      </w:r>
      <w:r w:rsidR="00571A3D">
        <w:rPr>
          <w:sz w:val="22"/>
          <w:szCs w:val="22"/>
        </w:rPr>
        <w:t>e</w:t>
      </w:r>
      <w:r w:rsidR="00E44A29" w:rsidRPr="00010AA6">
        <w:rPr>
          <w:sz w:val="22"/>
          <w:szCs w:val="22"/>
        </w:rPr>
        <w:t>.</w:t>
      </w:r>
    </w:p>
    <w:p w14:paraId="426DDE3A" w14:textId="0E484271" w:rsidR="008B13FD" w:rsidRPr="00010AA6" w:rsidRDefault="000C0547" w:rsidP="00356323">
      <w:pPr>
        <w:pStyle w:val="Paragrafoelenco"/>
        <w:numPr>
          <w:ilvl w:val="0"/>
          <w:numId w:val="3"/>
        </w:numPr>
        <w:spacing w:line="276" w:lineRule="auto"/>
        <w:ind w:right="6"/>
        <w:rPr>
          <w:sz w:val="22"/>
          <w:szCs w:val="22"/>
        </w:rPr>
      </w:pPr>
      <w:r w:rsidRPr="00010AA6">
        <w:rPr>
          <w:b/>
          <w:bCs/>
          <w:sz w:val="22"/>
          <w:szCs w:val="22"/>
        </w:rPr>
        <w:t>Canone</w:t>
      </w:r>
      <w:r w:rsidRPr="00010AA6">
        <w:rPr>
          <w:sz w:val="22"/>
          <w:szCs w:val="22"/>
        </w:rPr>
        <w:t>: Il canone base di concessione, per l’anno 2025, è stato determinato in euro 3.20</w:t>
      </w:r>
      <w:r w:rsidR="008D3B44" w:rsidRPr="00010AA6">
        <w:rPr>
          <w:sz w:val="22"/>
          <w:szCs w:val="22"/>
        </w:rPr>
        <w:t>4,53</w:t>
      </w:r>
      <w:r w:rsidRPr="00010AA6">
        <w:rPr>
          <w:sz w:val="22"/>
          <w:szCs w:val="22"/>
        </w:rPr>
        <w:t xml:space="preserve">, </w:t>
      </w:r>
      <w:r w:rsidR="008D3B44" w:rsidRPr="00010AA6">
        <w:rPr>
          <w:sz w:val="22"/>
          <w:szCs w:val="22"/>
        </w:rPr>
        <w:t>quale misura minima del canone demaniale marittimo</w:t>
      </w:r>
      <w:r w:rsidR="008A1960" w:rsidRPr="00010AA6">
        <w:rPr>
          <w:sz w:val="22"/>
          <w:szCs w:val="22"/>
        </w:rPr>
        <w:t xml:space="preserve">, da ultimo aggiornato con Decreto 152 del 08/08/2025, </w:t>
      </w:r>
      <w:r w:rsidR="008D3B44" w:rsidRPr="00010AA6">
        <w:rPr>
          <w:sz w:val="22"/>
          <w:szCs w:val="22"/>
        </w:rPr>
        <w:t>comunicat</w:t>
      </w:r>
      <w:r w:rsidR="008A1960" w:rsidRPr="00010AA6">
        <w:rPr>
          <w:sz w:val="22"/>
          <w:szCs w:val="22"/>
        </w:rPr>
        <w:t>o</w:t>
      </w:r>
      <w:r w:rsidR="008D3B44" w:rsidRPr="00010AA6">
        <w:rPr>
          <w:sz w:val="22"/>
          <w:szCs w:val="22"/>
        </w:rPr>
        <w:t xml:space="preserve"> con Circolare prot.</w:t>
      </w:r>
      <w:r w:rsidR="008A1960" w:rsidRPr="00010AA6">
        <w:rPr>
          <w:sz w:val="22"/>
          <w:szCs w:val="22"/>
        </w:rPr>
        <w:t xml:space="preserve"> 8376</w:t>
      </w:r>
      <w:r w:rsidR="008D3B44" w:rsidRPr="00010AA6">
        <w:rPr>
          <w:sz w:val="22"/>
          <w:szCs w:val="22"/>
        </w:rPr>
        <w:t xml:space="preserve"> del</w:t>
      </w:r>
      <w:r w:rsidR="008A1960" w:rsidRPr="00010AA6">
        <w:rPr>
          <w:sz w:val="22"/>
          <w:szCs w:val="22"/>
        </w:rPr>
        <w:t xml:space="preserve"> 11/08/2025</w:t>
      </w:r>
      <w:r w:rsidR="008D3B44" w:rsidRPr="00010AA6">
        <w:rPr>
          <w:sz w:val="22"/>
          <w:szCs w:val="22"/>
        </w:rPr>
        <w:t xml:space="preserve"> del Ministero delle Infrastrutture e dei trasporti</w:t>
      </w:r>
      <w:r w:rsidR="008A1960" w:rsidRPr="00010AA6">
        <w:rPr>
          <w:sz w:val="22"/>
          <w:szCs w:val="22"/>
        </w:rPr>
        <w:t xml:space="preserve"> – Dipartimento per i trasporti e la navigazione – Direzione Generale per i porti, la logistica e l’intermodalità</w:t>
      </w:r>
      <w:bookmarkStart w:id="1" w:name="_Hlk174698429"/>
      <w:r w:rsidR="008A1960" w:rsidRPr="00010AA6">
        <w:rPr>
          <w:sz w:val="22"/>
          <w:szCs w:val="22"/>
        </w:rPr>
        <w:t xml:space="preserve"> e relativa precisazione interpretativa con Circolare prot. n. 8569 del 25/08/2025.</w:t>
      </w:r>
    </w:p>
    <w:p w14:paraId="35BEA9FC" w14:textId="2417E10B" w:rsidR="008A1960" w:rsidRPr="00010AA6" w:rsidRDefault="008B13FD" w:rsidP="00356323">
      <w:pPr>
        <w:pStyle w:val="Paragrafoelenco"/>
        <w:spacing w:line="276" w:lineRule="auto"/>
        <w:ind w:left="360" w:right="6"/>
        <w:rPr>
          <w:bCs/>
          <w:sz w:val="22"/>
          <w:szCs w:val="22"/>
        </w:rPr>
      </w:pPr>
      <w:r w:rsidRPr="00010AA6">
        <w:rPr>
          <w:bCs/>
          <w:sz w:val="22"/>
          <w:szCs w:val="22"/>
        </w:rPr>
        <w:t xml:space="preserve">L’importo del canone è determinato per come previsto dal Regolamento di amministrazione del demanio di questa Autorità, giusta Ordinanza n. 74 del 02/10/2020, così come modificato ed integrato con Ordinanza n. 22/2021 del Commissario Straordinario, adeguato all’anno 2025 come da rivalutazione comunicata </w:t>
      </w:r>
      <w:r w:rsidR="008A1960" w:rsidRPr="00010AA6">
        <w:rPr>
          <w:bCs/>
          <w:sz w:val="22"/>
          <w:szCs w:val="22"/>
        </w:rPr>
        <w:t>dal summenzionato Ministero.</w:t>
      </w:r>
    </w:p>
    <w:bookmarkEnd w:id="1"/>
    <w:p w14:paraId="039F53B2" w14:textId="6E8C01A2" w:rsidR="008B13FD" w:rsidRPr="00010AA6" w:rsidRDefault="008B13FD" w:rsidP="00356323">
      <w:pPr>
        <w:pStyle w:val="Paragrafoelenco"/>
        <w:spacing w:line="276" w:lineRule="auto"/>
        <w:ind w:left="360" w:right="6"/>
        <w:rPr>
          <w:bCs/>
          <w:sz w:val="22"/>
          <w:szCs w:val="22"/>
        </w:rPr>
      </w:pPr>
    </w:p>
    <w:p w14:paraId="3C6201FB" w14:textId="53ABDF38" w:rsidR="008B13FD" w:rsidRPr="00010AA6" w:rsidRDefault="008B13FD" w:rsidP="00356323">
      <w:pPr>
        <w:pStyle w:val="Paragrafoelenco"/>
        <w:spacing w:line="276" w:lineRule="auto"/>
        <w:ind w:left="360" w:right="6"/>
        <w:rPr>
          <w:sz w:val="22"/>
          <w:szCs w:val="22"/>
        </w:rPr>
      </w:pPr>
      <w:r w:rsidRPr="00010AA6">
        <w:rPr>
          <w:bCs/>
          <w:sz w:val="22"/>
          <w:szCs w:val="22"/>
        </w:rPr>
        <w:t>In particolare, sono stati applicati i parametri unitari previsti con Decreto interministeriale 15 novembre 1995, n. 595 attuativo dell'articolo 03, comma 2 del D.L. 400/93, convertito con modificazioni nella Legge 4 dicembre 1993, n. 494 come modificato dalla legge di conversione del 13 ottobre 2020 n. 126 Legge 23 dicembre 1996, n. 647, di conversione del D.L. 21 ottobre 1996, n. 535 - Misure unitarie attualizzate al 2025 - Articolo 2 Cantieristica:</w:t>
      </w:r>
    </w:p>
    <w:p w14:paraId="60B08690" w14:textId="7F589F11" w:rsidR="008B13FD" w:rsidRPr="00010AA6" w:rsidRDefault="008B13FD" w:rsidP="00356323">
      <w:pPr>
        <w:pStyle w:val="Paragrafoelenco"/>
        <w:numPr>
          <w:ilvl w:val="0"/>
          <w:numId w:val="16"/>
        </w:numPr>
        <w:spacing w:line="276" w:lineRule="auto"/>
        <w:ind w:left="993" w:right="6"/>
        <w:rPr>
          <w:sz w:val="22"/>
          <w:szCs w:val="22"/>
        </w:rPr>
      </w:pPr>
      <w:r w:rsidRPr="00010AA6">
        <w:rPr>
          <w:bCs/>
          <w:sz w:val="22"/>
          <w:szCs w:val="22"/>
        </w:rPr>
        <w:t>Aree, specchi acquei, manufatti e pertinenze = €/mq. 1</w:t>
      </w:r>
      <w:r w:rsidR="00773923" w:rsidRPr="00010AA6">
        <w:rPr>
          <w:bCs/>
          <w:sz w:val="22"/>
          <w:szCs w:val="22"/>
        </w:rPr>
        <w:t>,69062</w:t>
      </w:r>
    </w:p>
    <w:p w14:paraId="466A917A" w14:textId="77777777" w:rsidR="00773923" w:rsidRPr="00010AA6" w:rsidRDefault="00773923" w:rsidP="00356323">
      <w:pPr>
        <w:spacing w:line="276" w:lineRule="auto"/>
        <w:ind w:right="6"/>
        <w:rPr>
          <w:sz w:val="22"/>
          <w:szCs w:val="22"/>
        </w:rPr>
      </w:pPr>
    </w:p>
    <w:p w14:paraId="6FC19B6A" w14:textId="409287A0" w:rsidR="000C0547" w:rsidRPr="00010AA6" w:rsidRDefault="000C0547" w:rsidP="00356323">
      <w:pPr>
        <w:pStyle w:val="Paragrafoelenco"/>
        <w:spacing w:line="276" w:lineRule="auto"/>
        <w:ind w:left="360" w:right="6"/>
        <w:rPr>
          <w:sz w:val="22"/>
          <w:szCs w:val="22"/>
        </w:rPr>
      </w:pPr>
      <w:r w:rsidRPr="00010AA6">
        <w:rPr>
          <w:sz w:val="22"/>
          <w:szCs w:val="22"/>
        </w:rPr>
        <w:t>Il canone risultante dalla procedura comparativa, determinato applicando al canone base il rialzo offerto dall’aggiudicatario, sarà rivalutato annualmente in base all’indice Istat che sarà comunicato dal Ministero vigilante. Qualora le superfici dei beni da assentire in concessione si scostassero, sulla base del SID che sarà presentato dall’impresa aggiudicataria, da quelle sopra indicate, il canone calcolato con la maggiorazione offerta dall’aggiudicatario sarà riparametrato in proporzione alle effettive superfici ed a questo il concorrente presta sin d’ora espresso assenso.</w:t>
      </w:r>
    </w:p>
    <w:p w14:paraId="07034DC5" w14:textId="77777777" w:rsidR="008D3B44" w:rsidRPr="00010AA6" w:rsidRDefault="008D3B44" w:rsidP="00356323">
      <w:pPr>
        <w:spacing w:line="276" w:lineRule="auto"/>
        <w:ind w:left="720"/>
        <w:jc w:val="both"/>
        <w:rPr>
          <w:sz w:val="22"/>
          <w:szCs w:val="22"/>
        </w:rPr>
      </w:pPr>
    </w:p>
    <w:p w14:paraId="079A96D5" w14:textId="77777777" w:rsidR="00C64F17" w:rsidRDefault="00C64F17" w:rsidP="00C64F17">
      <w:pPr>
        <w:pStyle w:val="Paragrafoelenco"/>
        <w:numPr>
          <w:ilvl w:val="0"/>
          <w:numId w:val="3"/>
        </w:numPr>
        <w:spacing w:line="276" w:lineRule="auto"/>
        <w:rPr>
          <w:sz w:val="22"/>
          <w:szCs w:val="22"/>
        </w:rPr>
      </w:pPr>
      <w:r w:rsidRPr="00C64F17">
        <w:rPr>
          <w:b/>
          <w:bCs/>
          <w:sz w:val="22"/>
          <w:szCs w:val="22"/>
        </w:rPr>
        <w:t>Requisiti di partecipazione</w:t>
      </w:r>
      <w:r>
        <w:rPr>
          <w:b/>
          <w:bCs/>
          <w:sz w:val="22"/>
          <w:szCs w:val="22"/>
        </w:rPr>
        <w:t>:</w:t>
      </w:r>
      <w:r>
        <w:rPr>
          <w:sz w:val="22"/>
          <w:szCs w:val="22"/>
        </w:rPr>
        <w:t xml:space="preserve"> </w:t>
      </w:r>
      <w:r w:rsidRPr="00010AA6">
        <w:rPr>
          <w:sz w:val="22"/>
          <w:szCs w:val="22"/>
        </w:rPr>
        <w:t>Ciascuna impresa concorrente dovrà confermare tramite dichiarazione resa ai sensi del DPR 445/2000 e s.m.i.  il possesso dei requisiti di legge per l’ottenimento di concessioni di beni pubblici ivi compresa la regolare posizione relativamente alle norme antimafia, compilando la documentazione allegata</w:t>
      </w:r>
    </w:p>
    <w:p w14:paraId="509913CA" w14:textId="032A779A" w:rsidR="00C64F17" w:rsidRDefault="00C64F17" w:rsidP="00C64F17">
      <w:pPr>
        <w:pStyle w:val="Paragrafoelenco"/>
        <w:spacing w:line="276" w:lineRule="auto"/>
        <w:ind w:left="360"/>
        <w:rPr>
          <w:sz w:val="22"/>
          <w:szCs w:val="22"/>
        </w:rPr>
      </w:pPr>
      <w:r>
        <w:rPr>
          <w:sz w:val="22"/>
          <w:szCs w:val="22"/>
        </w:rPr>
        <w:t xml:space="preserve">Ciascuna impresa deve dichiarare il possesso dei requisiti di idoneità professionale mediante iscrizione nel registro delle </w:t>
      </w:r>
      <w:r w:rsidR="00226721">
        <w:rPr>
          <w:sz w:val="22"/>
          <w:szCs w:val="22"/>
        </w:rPr>
        <w:t>imprese presso</w:t>
      </w:r>
      <w:r>
        <w:rPr>
          <w:sz w:val="22"/>
          <w:szCs w:val="22"/>
        </w:rPr>
        <w:t xml:space="preserve"> la CC.</w:t>
      </w:r>
      <w:r w:rsidR="00A1280B">
        <w:rPr>
          <w:sz w:val="22"/>
          <w:szCs w:val="22"/>
        </w:rPr>
        <w:t>I. AA.</w:t>
      </w:r>
      <w:r>
        <w:rPr>
          <w:sz w:val="22"/>
          <w:szCs w:val="22"/>
        </w:rPr>
        <w:t xml:space="preserve"> competente per territorio </w:t>
      </w:r>
      <w:r w:rsidRPr="00EC4DD4">
        <w:rPr>
          <w:sz w:val="22"/>
          <w:szCs w:val="22"/>
          <w:u w:val="single"/>
        </w:rPr>
        <w:t>per attività attinenti allo scopo della concessione</w:t>
      </w:r>
      <w:r>
        <w:rPr>
          <w:sz w:val="22"/>
          <w:szCs w:val="22"/>
        </w:rPr>
        <w:t>.</w:t>
      </w:r>
    </w:p>
    <w:p w14:paraId="1B98FEE2" w14:textId="77777777" w:rsidR="00C64F17" w:rsidRPr="00C64F17" w:rsidRDefault="00C64F17" w:rsidP="00C64F17">
      <w:pPr>
        <w:pStyle w:val="Paragrafoelenco"/>
        <w:rPr>
          <w:sz w:val="22"/>
          <w:szCs w:val="22"/>
        </w:rPr>
      </w:pPr>
    </w:p>
    <w:p w14:paraId="7174257E" w14:textId="6D1FD8E3" w:rsidR="000C0547" w:rsidRPr="00010AA6" w:rsidRDefault="000C0547" w:rsidP="00356323">
      <w:pPr>
        <w:pStyle w:val="Paragrafoelenco"/>
        <w:numPr>
          <w:ilvl w:val="0"/>
          <w:numId w:val="3"/>
        </w:numPr>
        <w:spacing w:line="276" w:lineRule="auto"/>
        <w:rPr>
          <w:sz w:val="22"/>
          <w:szCs w:val="22"/>
        </w:rPr>
      </w:pPr>
      <w:r w:rsidRPr="00010AA6">
        <w:rPr>
          <w:sz w:val="22"/>
          <w:szCs w:val="22"/>
        </w:rPr>
        <w:t xml:space="preserve">Ciascun concorrente dovrà dichiarare che il bene demaniale </w:t>
      </w:r>
      <w:r w:rsidR="008D3B44" w:rsidRPr="00010AA6">
        <w:rPr>
          <w:sz w:val="22"/>
          <w:szCs w:val="22"/>
        </w:rPr>
        <w:t>oggetto della presente procedura</w:t>
      </w:r>
      <w:r w:rsidRPr="00010AA6">
        <w:rPr>
          <w:sz w:val="22"/>
          <w:szCs w:val="22"/>
        </w:rPr>
        <w:t xml:space="preserve">, è ritenuto idoneo allo svolgimento dell’attività programmata per cui, in caso di aggiudicazione, esso verrà integralmente accettato nello stato in cui si trova, con rinuncia a qualsiasi richiesta </w:t>
      </w:r>
      <w:r w:rsidRPr="00010AA6">
        <w:rPr>
          <w:sz w:val="22"/>
          <w:szCs w:val="22"/>
        </w:rPr>
        <w:lastRenderedPageBreak/>
        <w:t>di interventi di modifica, integrazione, manutenzione et similia, nei confronti della Autorità concedente e/o a carico della stessa.</w:t>
      </w:r>
    </w:p>
    <w:p w14:paraId="42BDA7B8" w14:textId="77777777" w:rsidR="00C84478" w:rsidRPr="00010AA6" w:rsidRDefault="00C84478" w:rsidP="00356323">
      <w:pPr>
        <w:spacing w:line="276" w:lineRule="auto"/>
        <w:ind w:left="360"/>
        <w:jc w:val="both"/>
        <w:rPr>
          <w:sz w:val="22"/>
          <w:szCs w:val="22"/>
        </w:rPr>
      </w:pPr>
    </w:p>
    <w:p w14:paraId="20B786AC" w14:textId="69C2E655" w:rsidR="000C0547" w:rsidRPr="006223D2" w:rsidRDefault="000C0547" w:rsidP="006223D2">
      <w:pPr>
        <w:pStyle w:val="Paragrafoelenco"/>
        <w:numPr>
          <w:ilvl w:val="0"/>
          <w:numId w:val="3"/>
        </w:numPr>
        <w:spacing w:line="276" w:lineRule="auto"/>
        <w:rPr>
          <w:sz w:val="22"/>
          <w:szCs w:val="22"/>
        </w:rPr>
      </w:pPr>
      <w:r w:rsidRPr="006223D2">
        <w:rPr>
          <w:sz w:val="22"/>
          <w:szCs w:val="22"/>
        </w:rPr>
        <w:t>Il rilascio della concessione, all’esito della procedura, una volta individuato in via definitiva l’aggiudicatario, sarà subordinato</w:t>
      </w:r>
      <w:r w:rsidR="00571A3D" w:rsidRPr="006223D2">
        <w:rPr>
          <w:sz w:val="22"/>
          <w:szCs w:val="22"/>
        </w:rPr>
        <w:t xml:space="preserve"> alla verifica del possesso dei requisiti sopra indicati e </w:t>
      </w:r>
      <w:r w:rsidRPr="006223D2">
        <w:rPr>
          <w:sz w:val="22"/>
          <w:szCs w:val="22"/>
        </w:rPr>
        <w:t xml:space="preserve"> agli adempimenti prescritti dal vigente Regolamento di Amministrazione del Demanio di questo Ente cui integralmente si rimanda.</w:t>
      </w:r>
    </w:p>
    <w:p w14:paraId="2028063C" w14:textId="77777777" w:rsidR="007E7FF2" w:rsidRPr="00010AA6" w:rsidRDefault="007E7FF2" w:rsidP="00356323">
      <w:pPr>
        <w:spacing w:line="276" w:lineRule="auto"/>
        <w:jc w:val="both"/>
        <w:rPr>
          <w:noProof/>
          <w:color w:val="000000"/>
          <w:sz w:val="22"/>
          <w:szCs w:val="22"/>
          <w:lang w:eastAsia="it-IT"/>
        </w:rPr>
      </w:pPr>
    </w:p>
    <w:p w14:paraId="587CC12D" w14:textId="77777777" w:rsidR="001867CC" w:rsidRPr="00010AA6" w:rsidRDefault="001867CC" w:rsidP="00356323">
      <w:pPr>
        <w:widowControl w:val="0"/>
        <w:suppressAutoHyphens/>
        <w:autoSpaceDE w:val="0"/>
        <w:autoSpaceDN w:val="0"/>
        <w:adjustRightInd w:val="0"/>
        <w:spacing w:before="30" w:line="276" w:lineRule="auto"/>
        <w:jc w:val="center"/>
        <w:rPr>
          <w:rFonts w:eastAsia="Times New Roman"/>
          <w:b/>
          <w:caps/>
          <w:color w:val="000000"/>
          <w:sz w:val="22"/>
          <w:szCs w:val="22"/>
          <w:lang w:eastAsia="ar-SA"/>
        </w:rPr>
      </w:pPr>
    </w:p>
    <w:p w14:paraId="586F6D7E" w14:textId="372318D7" w:rsidR="008D3B44" w:rsidRPr="00010AA6" w:rsidRDefault="008D3B44" w:rsidP="00356323">
      <w:pPr>
        <w:widowControl w:val="0"/>
        <w:suppressAutoHyphens/>
        <w:autoSpaceDE w:val="0"/>
        <w:autoSpaceDN w:val="0"/>
        <w:adjustRightInd w:val="0"/>
        <w:spacing w:before="30" w:line="276" w:lineRule="auto"/>
        <w:jc w:val="center"/>
        <w:rPr>
          <w:rFonts w:eastAsia="Times New Roman"/>
          <w:b/>
          <w:caps/>
          <w:color w:val="000000"/>
          <w:sz w:val="22"/>
          <w:szCs w:val="22"/>
          <w:lang w:eastAsia="ar-SA"/>
        </w:rPr>
      </w:pPr>
      <w:r w:rsidRPr="00010AA6">
        <w:rPr>
          <w:rFonts w:eastAsia="Times New Roman"/>
          <w:b/>
          <w:caps/>
          <w:color w:val="000000"/>
          <w:sz w:val="22"/>
          <w:szCs w:val="22"/>
          <w:lang w:eastAsia="ar-SA"/>
        </w:rPr>
        <w:t>Documentazione richiesta AI FINI DELLA AMMISSIONE ALLA PROCEDURA</w:t>
      </w:r>
    </w:p>
    <w:p w14:paraId="45C8561C" w14:textId="77777777" w:rsidR="008D3B44" w:rsidRPr="00010AA6" w:rsidRDefault="008D3B44" w:rsidP="00356323">
      <w:pPr>
        <w:widowControl w:val="0"/>
        <w:suppressAutoHyphens/>
        <w:autoSpaceDE w:val="0"/>
        <w:autoSpaceDN w:val="0"/>
        <w:adjustRightInd w:val="0"/>
        <w:spacing w:before="30" w:line="276" w:lineRule="auto"/>
        <w:jc w:val="both"/>
        <w:rPr>
          <w:rFonts w:eastAsia="Times New Roman"/>
          <w:b/>
          <w:caps/>
          <w:color w:val="000000"/>
          <w:sz w:val="22"/>
          <w:szCs w:val="22"/>
          <w:lang w:eastAsia="ar-SA"/>
        </w:rPr>
      </w:pPr>
    </w:p>
    <w:p w14:paraId="319C5A1F" w14:textId="3CE061C9" w:rsidR="008D3B44" w:rsidRPr="00010AA6" w:rsidRDefault="008D3B44" w:rsidP="00356323">
      <w:pPr>
        <w:widowControl w:val="0"/>
        <w:suppressAutoHyphens/>
        <w:autoSpaceDE w:val="0"/>
        <w:autoSpaceDN w:val="0"/>
        <w:adjustRightInd w:val="0"/>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I concorrenti, per essere ammessi alla procedura comparativa, dovranno presentare, a pena di esclusione, la documentazione </w:t>
      </w:r>
      <w:r w:rsidR="00E10213" w:rsidRPr="00010AA6">
        <w:rPr>
          <w:rFonts w:eastAsia="Times New Roman"/>
          <w:color w:val="000000"/>
          <w:sz w:val="22"/>
          <w:szCs w:val="22"/>
          <w:lang w:eastAsia="ar-SA"/>
        </w:rPr>
        <w:t>sottoindicata</w:t>
      </w:r>
      <w:r w:rsidRPr="00010AA6">
        <w:rPr>
          <w:rFonts w:eastAsia="Times New Roman"/>
          <w:color w:val="000000"/>
          <w:sz w:val="22"/>
          <w:szCs w:val="22"/>
          <w:lang w:eastAsia="ar-SA"/>
        </w:rPr>
        <w:t>.</w:t>
      </w:r>
    </w:p>
    <w:p w14:paraId="563A2AF5" w14:textId="77777777" w:rsidR="008D3B44" w:rsidRPr="00010AA6" w:rsidRDefault="008D3B44" w:rsidP="00356323">
      <w:pPr>
        <w:spacing w:before="30" w:line="276" w:lineRule="auto"/>
        <w:jc w:val="both"/>
        <w:rPr>
          <w:rFonts w:eastAsia="Times New Roman"/>
          <w:color w:val="000000"/>
          <w:sz w:val="22"/>
          <w:szCs w:val="22"/>
          <w:lang w:eastAsia="ar-SA"/>
        </w:rPr>
      </w:pPr>
    </w:p>
    <w:p w14:paraId="108ECEBA" w14:textId="33BA1094" w:rsidR="008D3B44" w:rsidRPr="00010AA6" w:rsidRDefault="008D3B44" w:rsidP="00356323">
      <w:pPr>
        <w:spacing w:before="30" w:line="276" w:lineRule="auto"/>
        <w:jc w:val="both"/>
        <w:rPr>
          <w:color w:val="000000"/>
          <w:sz w:val="22"/>
          <w:szCs w:val="22"/>
        </w:rPr>
      </w:pPr>
      <w:r w:rsidRPr="0053400B">
        <w:rPr>
          <w:rFonts w:eastAsia="Times New Roman"/>
          <w:color w:val="000000"/>
          <w:sz w:val="22"/>
          <w:szCs w:val="22"/>
          <w:lang w:eastAsia="ar-SA"/>
        </w:rPr>
        <w:t xml:space="preserve">Le offerte dovranno pervenire presso la sede dell’Autorità di Sistema Portuale del Mare Adriatico Centrale, Molo Santa Maria, 60121 Ancona, entro e non </w:t>
      </w:r>
      <w:r w:rsidRPr="00226721">
        <w:rPr>
          <w:rFonts w:eastAsia="Times New Roman"/>
          <w:color w:val="000000"/>
          <w:sz w:val="22"/>
          <w:szCs w:val="22"/>
          <w:lang w:eastAsia="ar-SA"/>
        </w:rPr>
        <w:t>oltre</w:t>
      </w:r>
      <w:r w:rsidR="00226721">
        <w:rPr>
          <w:rFonts w:eastAsia="Times New Roman"/>
          <w:color w:val="000000"/>
          <w:sz w:val="22"/>
          <w:szCs w:val="22"/>
          <w:lang w:eastAsia="ar-SA"/>
        </w:rPr>
        <w:t xml:space="preserve">, </w:t>
      </w:r>
      <w:r w:rsidRPr="00226721">
        <w:rPr>
          <w:rFonts w:eastAsia="Times New Roman"/>
          <w:color w:val="000000"/>
          <w:sz w:val="22"/>
          <w:szCs w:val="22"/>
          <w:lang w:eastAsia="ar-SA"/>
        </w:rPr>
        <w:t xml:space="preserve"> le </w:t>
      </w:r>
      <w:r w:rsidRPr="00226721">
        <w:rPr>
          <w:rFonts w:eastAsia="Times New Roman"/>
          <w:b/>
          <w:color w:val="000000"/>
          <w:sz w:val="22"/>
          <w:szCs w:val="22"/>
          <w:lang w:eastAsia="ar-SA"/>
        </w:rPr>
        <w:t xml:space="preserve">ore </w:t>
      </w:r>
      <w:r w:rsidR="003E6581" w:rsidRPr="00226721">
        <w:rPr>
          <w:rFonts w:eastAsia="Times New Roman"/>
          <w:b/>
          <w:color w:val="000000"/>
          <w:sz w:val="22"/>
          <w:szCs w:val="22"/>
          <w:lang w:eastAsia="ar-SA"/>
        </w:rPr>
        <w:t>12.00</w:t>
      </w:r>
      <w:r w:rsidRPr="00226721">
        <w:rPr>
          <w:rFonts w:eastAsia="Times New Roman"/>
          <w:color w:val="000000"/>
          <w:sz w:val="22"/>
          <w:szCs w:val="22"/>
          <w:lang w:eastAsia="ar-SA"/>
        </w:rPr>
        <w:t xml:space="preserve"> </w:t>
      </w:r>
      <w:r w:rsidR="00226721">
        <w:rPr>
          <w:rFonts w:eastAsia="Times New Roman"/>
          <w:color w:val="000000"/>
          <w:sz w:val="22"/>
          <w:szCs w:val="22"/>
          <w:lang w:eastAsia="ar-SA"/>
        </w:rPr>
        <w:t xml:space="preserve">del </w:t>
      </w:r>
      <w:r w:rsidR="00226721" w:rsidRPr="00226721">
        <w:rPr>
          <w:rFonts w:eastAsia="Times New Roman"/>
          <w:b/>
          <w:bCs/>
          <w:color w:val="000000"/>
          <w:sz w:val="22"/>
          <w:szCs w:val="22"/>
          <w:lang w:eastAsia="ar-SA"/>
        </w:rPr>
        <w:t>20/10/2025</w:t>
      </w:r>
      <w:r w:rsidRPr="00226721">
        <w:rPr>
          <w:rFonts w:eastAsia="Times New Roman"/>
          <w:b/>
          <w:color w:val="000000"/>
          <w:sz w:val="22"/>
          <w:szCs w:val="22"/>
          <w:lang w:eastAsia="ar-SA"/>
        </w:rPr>
        <w:t xml:space="preserve"> </w:t>
      </w:r>
      <w:r w:rsidRPr="00226721">
        <w:rPr>
          <w:rFonts w:eastAsia="Times New Roman"/>
          <w:b/>
          <w:color w:val="000000"/>
          <w:sz w:val="22"/>
          <w:szCs w:val="22"/>
          <w:u w:val="single"/>
          <w:lang w:eastAsia="ar-SA"/>
        </w:rPr>
        <w:t>a pena di</w:t>
      </w:r>
      <w:r w:rsidRPr="0053400B">
        <w:rPr>
          <w:rFonts w:eastAsia="Times New Roman"/>
          <w:b/>
          <w:color w:val="000000"/>
          <w:sz w:val="22"/>
          <w:szCs w:val="22"/>
          <w:u w:val="single"/>
          <w:lang w:eastAsia="ar-SA"/>
        </w:rPr>
        <w:t xml:space="preserve"> </w:t>
      </w:r>
      <w:r w:rsidR="00226721">
        <w:rPr>
          <w:rFonts w:eastAsia="Times New Roman"/>
          <w:b/>
          <w:color w:val="000000"/>
          <w:sz w:val="22"/>
          <w:szCs w:val="22"/>
          <w:u w:val="single"/>
          <w:lang w:eastAsia="ar-SA"/>
        </w:rPr>
        <w:t>esclusione</w:t>
      </w:r>
      <w:r w:rsidRPr="0053400B">
        <w:rPr>
          <w:rFonts w:eastAsia="Times New Roman"/>
          <w:b/>
          <w:color w:val="000000"/>
          <w:sz w:val="22"/>
          <w:szCs w:val="22"/>
          <w:u w:val="single"/>
          <w:lang w:eastAsia="ar-SA"/>
        </w:rPr>
        <w:t>,</w:t>
      </w:r>
      <w:r w:rsidRPr="0053400B">
        <w:rPr>
          <w:rFonts w:eastAsia="Times New Roman"/>
          <w:color w:val="000000"/>
          <w:sz w:val="22"/>
          <w:szCs w:val="22"/>
          <w:lang w:eastAsia="ar-SA"/>
        </w:rPr>
        <w:t xml:space="preserve"> in </w:t>
      </w:r>
      <w:r w:rsidRPr="00341CE9">
        <w:rPr>
          <w:rFonts w:eastAsia="Times New Roman"/>
          <w:color w:val="000000"/>
          <w:sz w:val="22"/>
          <w:szCs w:val="22"/>
          <w:u w:val="single"/>
          <w:lang w:eastAsia="ar-SA"/>
        </w:rPr>
        <w:t xml:space="preserve">plico </w:t>
      </w:r>
      <w:r w:rsidRPr="0053400B">
        <w:rPr>
          <w:rFonts w:eastAsia="Times New Roman"/>
          <w:color w:val="000000"/>
          <w:sz w:val="22"/>
          <w:szCs w:val="22"/>
          <w:u w:val="single"/>
          <w:lang w:eastAsia="ar-SA"/>
        </w:rPr>
        <w:t>sigillato con nastro adesivo o ceralacca, controfirmato sui lembi di chiusura e riportante il nominativo dell'operatore economico e la dicitura</w:t>
      </w:r>
      <w:r w:rsidRPr="0053400B">
        <w:rPr>
          <w:rFonts w:eastAsia="Times New Roman"/>
          <w:color w:val="000000"/>
          <w:sz w:val="22"/>
          <w:szCs w:val="22"/>
          <w:lang w:eastAsia="ar-SA"/>
        </w:rPr>
        <w:t xml:space="preserve"> </w:t>
      </w:r>
      <w:r w:rsidRPr="0053400B">
        <w:rPr>
          <w:rFonts w:eastAsia="Times New Roman"/>
          <w:i/>
          <w:color w:val="000000"/>
          <w:sz w:val="22"/>
          <w:szCs w:val="22"/>
          <w:lang w:eastAsia="ar-SA"/>
        </w:rPr>
        <w:t xml:space="preserve">“Procedura comparativa finalizzata al rilascio di concessione demaniale marittima </w:t>
      </w:r>
      <w:r w:rsidR="003F76BE" w:rsidRPr="0053400B">
        <w:rPr>
          <w:rFonts w:eastAsia="Times New Roman"/>
          <w:i/>
          <w:color w:val="000000"/>
          <w:sz w:val="22"/>
          <w:szCs w:val="22"/>
          <w:lang w:eastAsia="ar-SA"/>
        </w:rPr>
        <w:t>avente ad oggetto un</w:t>
      </w:r>
      <w:r w:rsidR="008848D7" w:rsidRPr="0053400B">
        <w:rPr>
          <w:rFonts w:eastAsia="Times New Roman"/>
          <w:i/>
          <w:color w:val="000000"/>
          <w:sz w:val="22"/>
          <w:szCs w:val="22"/>
          <w:lang w:eastAsia="ar-SA"/>
        </w:rPr>
        <w:t xml:space="preserve">o </w:t>
      </w:r>
      <w:r w:rsidR="00C84478" w:rsidRPr="0053400B">
        <w:rPr>
          <w:rFonts w:eastAsia="Times New Roman"/>
          <w:i/>
          <w:color w:val="000000"/>
          <w:sz w:val="22"/>
          <w:szCs w:val="22"/>
          <w:lang w:eastAsia="ar-SA"/>
        </w:rPr>
        <w:t xml:space="preserve">scalo per alaggio e varo di imbarcazioni </w:t>
      </w:r>
      <w:r w:rsidR="00B378E2" w:rsidRPr="0053400B">
        <w:rPr>
          <w:rFonts w:eastAsia="Times New Roman"/>
          <w:i/>
          <w:color w:val="000000"/>
          <w:sz w:val="22"/>
          <w:szCs w:val="22"/>
          <w:lang w:eastAsia="ar-SA"/>
        </w:rPr>
        <w:t>– AN</w:t>
      </w:r>
      <w:r w:rsidR="00C84478" w:rsidRPr="0053400B">
        <w:rPr>
          <w:rFonts w:eastAsia="Times New Roman"/>
          <w:i/>
          <w:color w:val="000000"/>
          <w:sz w:val="22"/>
          <w:szCs w:val="22"/>
          <w:lang w:eastAsia="ar-SA"/>
        </w:rPr>
        <w:t>74</w:t>
      </w:r>
      <w:r w:rsidR="00B378E2" w:rsidRPr="0053400B">
        <w:rPr>
          <w:rFonts w:eastAsia="Times New Roman"/>
          <w:i/>
          <w:color w:val="000000"/>
          <w:sz w:val="22"/>
          <w:szCs w:val="22"/>
          <w:lang w:eastAsia="ar-SA"/>
        </w:rPr>
        <w:t xml:space="preserve"> </w:t>
      </w:r>
      <w:r w:rsidR="007E7FF2" w:rsidRPr="0053400B">
        <w:rPr>
          <w:rFonts w:eastAsia="Times New Roman"/>
          <w:i/>
          <w:color w:val="000000"/>
          <w:sz w:val="22"/>
          <w:szCs w:val="22"/>
          <w:lang w:eastAsia="ar-SA"/>
        </w:rPr>
        <w:t>-</w:t>
      </w:r>
      <w:r w:rsidR="00B378E2" w:rsidRPr="0053400B">
        <w:rPr>
          <w:rFonts w:eastAsia="Times New Roman"/>
          <w:i/>
          <w:color w:val="000000"/>
          <w:sz w:val="22"/>
          <w:szCs w:val="22"/>
          <w:lang w:eastAsia="ar-SA"/>
        </w:rPr>
        <w:t xml:space="preserve"> </w:t>
      </w:r>
      <w:r w:rsidRPr="0053400B">
        <w:rPr>
          <w:i/>
          <w:color w:val="000000"/>
          <w:sz w:val="22"/>
          <w:szCs w:val="22"/>
        </w:rPr>
        <w:t>NON APRIRE”</w:t>
      </w:r>
      <w:r w:rsidRPr="0053400B">
        <w:rPr>
          <w:color w:val="000000"/>
          <w:sz w:val="22"/>
          <w:szCs w:val="22"/>
        </w:rPr>
        <w:t>.</w:t>
      </w:r>
      <w:r w:rsidRPr="00010AA6">
        <w:rPr>
          <w:sz w:val="22"/>
          <w:szCs w:val="22"/>
        </w:rPr>
        <w:t xml:space="preserve"> </w:t>
      </w:r>
    </w:p>
    <w:p w14:paraId="519D6141" w14:textId="77777777" w:rsidR="008D3B44" w:rsidRDefault="008D3B44" w:rsidP="00356323">
      <w:pPr>
        <w:suppressAutoHyphens/>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Il recapito dei plichi nel termine stabilito rimane ad esclusivo rischio del mittente, che nulla potrà eccepire od opporre ove per qualsiasi motivo non dovessero giungere a destinazione in tempo utile.</w:t>
      </w:r>
    </w:p>
    <w:p w14:paraId="450A7145" w14:textId="0AFB60C2" w:rsidR="0053400B" w:rsidRDefault="0053400B" w:rsidP="00356323">
      <w:pPr>
        <w:suppressAutoHyphens/>
        <w:spacing w:before="30" w:line="276" w:lineRule="auto"/>
        <w:jc w:val="both"/>
        <w:rPr>
          <w:rFonts w:eastAsia="Times New Roman"/>
          <w:color w:val="000000"/>
          <w:sz w:val="22"/>
          <w:szCs w:val="22"/>
          <w:lang w:eastAsia="ar-SA"/>
        </w:rPr>
      </w:pPr>
      <w:r w:rsidRPr="00341CE9">
        <w:rPr>
          <w:rFonts w:eastAsia="Times New Roman"/>
          <w:color w:val="000000"/>
          <w:sz w:val="22"/>
          <w:szCs w:val="22"/>
          <w:u w:val="single"/>
          <w:lang w:eastAsia="ar-SA"/>
        </w:rPr>
        <w:t>Una modalità di presentazione delle offerte diversa da quella sopra indicata comporterà l’esclusione dalla presente procedura</w:t>
      </w:r>
      <w:r>
        <w:rPr>
          <w:rFonts w:eastAsia="Times New Roman"/>
          <w:color w:val="000000"/>
          <w:sz w:val="22"/>
          <w:szCs w:val="22"/>
          <w:lang w:eastAsia="ar-SA"/>
        </w:rPr>
        <w:t>.</w:t>
      </w:r>
    </w:p>
    <w:p w14:paraId="77C84066" w14:textId="77777777" w:rsidR="00226721" w:rsidRPr="00226721" w:rsidRDefault="00226721" w:rsidP="00226721">
      <w:pPr>
        <w:suppressAutoHyphens/>
        <w:spacing w:before="30" w:line="276" w:lineRule="auto"/>
        <w:jc w:val="both"/>
        <w:rPr>
          <w:rFonts w:eastAsia="Times New Roman"/>
          <w:color w:val="000000"/>
          <w:sz w:val="22"/>
          <w:szCs w:val="22"/>
          <w:u w:val="single"/>
          <w:lang w:eastAsia="ar-SA"/>
        </w:rPr>
      </w:pPr>
      <w:r w:rsidRPr="00226721">
        <w:rPr>
          <w:rFonts w:eastAsia="Times New Roman"/>
          <w:color w:val="000000"/>
          <w:sz w:val="22"/>
          <w:szCs w:val="22"/>
          <w:u w:val="single"/>
          <w:lang w:eastAsia="ar-SA"/>
        </w:rPr>
        <w:t xml:space="preserve">L’inosservanza del termine sopra indicato </w:t>
      </w:r>
      <w:r w:rsidRPr="00226721">
        <w:rPr>
          <w:rFonts w:eastAsia="Times New Roman"/>
          <w:color w:val="000000"/>
          <w:sz w:val="22"/>
          <w:szCs w:val="22"/>
          <w:u w:val="single"/>
          <w:lang w:eastAsia="ar-SA"/>
        </w:rPr>
        <w:t>comporterà l’esclusione dalla presente procedura.</w:t>
      </w:r>
    </w:p>
    <w:p w14:paraId="1DA8D07C" w14:textId="77777777" w:rsidR="008D3B44" w:rsidRPr="00010AA6" w:rsidRDefault="008D3B44" w:rsidP="00356323">
      <w:pPr>
        <w:suppressAutoHyphens/>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La mancanza o l’incompletezza della documentazione determinerà l’esclusione dalla </w:t>
      </w:r>
      <w:r w:rsidRPr="00010AA6">
        <w:rPr>
          <w:noProof/>
          <w:color w:val="000000"/>
          <w:sz w:val="22"/>
          <w:szCs w:val="22"/>
          <w:lang w:eastAsia="it-IT"/>
        </w:rPr>
        <w:t xml:space="preserve">procedura comparativa </w:t>
      </w:r>
      <w:r w:rsidRPr="00010AA6">
        <w:rPr>
          <w:rFonts w:eastAsia="Times New Roman"/>
          <w:color w:val="000000"/>
          <w:sz w:val="22"/>
          <w:szCs w:val="22"/>
          <w:lang w:eastAsia="ar-SA"/>
        </w:rPr>
        <w:t>del concorrente, salvo esercizio del soccorso istruttorio ove ammesso e nei casi previsti dalla vigente disciplina.</w:t>
      </w:r>
    </w:p>
    <w:p w14:paraId="7052DEAA" w14:textId="1A0F7E8C" w:rsidR="008D3B44" w:rsidRPr="00010AA6" w:rsidRDefault="008D3B44" w:rsidP="00356323">
      <w:pPr>
        <w:widowControl w:val="0"/>
        <w:suppressAutoHyphens/>
        <w:autoSpaceDE w:val="0"/>
        <w:autoSpaceDN w:val="0"/>
        <w:adjustRightInd w:val="0"/>
        <w:spacing w:before="30" w:line="276" w:lineRule="auto"/>
        <w:jc w:val="both"/>
        <w:rPr>
          <w:rFonts w:eastAsia="Times New Roman"/>
          <w:color w:val="000000"/>
          <w:sz w:val="22"/>
          <w:szCs w:val="22"/>
          <w:u w:val="single"/>
          <w:lang w:eastAsia="ar-SA"/>
        </w:rPr>
      </w:pPr>
      <w:r w:rsidRPr="00010AA6">
        <w:rPr>
          <w:rFonts w:eastAsia="Times New Roman"/>
          <w:color w:val="000000"/>
          <w:sz w:val="22"/>
          <w:szCs w:val="22"/>
          <w:u w:val="single"/>
          <w:lang w:eastAsia="ar-SA"/>
        </w:rPr>
        <w:t xml:space="preserve">All’interno del plico sigillato dovranno essere inserite </w:t>
      </w:r>
      <w:r w:rsidR="00341CE9">
        <w:rPr>
          <w:rFonts w:eastAsia="Times New Roman"/>
          <w:color w:val="000000"/>
          <w:sz w:val="22"/>
          <w:szCs w:val="22"/>
          <w:u w:val="single"/>
          <w:lang w:eastAsia="ar-SA"/>
        </w:rPr>
        <w:t>tre</w:t>
      </w:r>
      <w:r w:rsidRPr="00010AA6">
        <w:rPr>
          <w:rFonts w:eastAsia="Times New Roman"/>
          <w:color w:val="000000"/>
          <w:sz w:val="22"/>
          <w:szCs w:val="22"/>
          <w:u w:val="single"/>
          <w:lang w:eastAsia="ar-SA"/>
        </w:rPr>
        <w:t xml:space="preserve"> ulteriori buste sigillate:</w:t>
      </w:r>
    </w:p>
    <w:p w14:paraId="363513BF" w14:textId="77777777" w:rsidR="008D3B44" w:rsidRPr="00010AA6" w:rsidRDefault="008D3B44"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p>
    <w:p w14:paraId="2D43671F" w14:textId="77777777" w:rsidR="008D3B44" w:rsidRPr="00010AA6" w:rsidRDefault="008D3B44"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r w:rsidRPr="00010AA6">
        <w:rPr>
          <w:rFonts w:eastAsia="Times New Roman"/>
          <w:b/>
          <w:color w:val="000000"/>
          <w:sz w:val="22"/>
          <w:szCs w:val="22"/>
          <w:u w:val="single"/>
          <w:lang w:eastAsia="ar-SA"/>
        </w:rPr>
        <w:t>BUSTA A – DOCUMENTAZIONE AMMINISTRATIVA</w:t>
      </w:r>
    </w:p>
    <w:p w14:paraId="0DD7D6D9" w14:textId="77777777" w:rsidR="008D3B44" w:rsidRPr="00010AA6" w:rsidRDefault="008D3B44"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p>
    <w:p w14:paraId="2C59FA5B" w14:textId="77777777" w:rsidR="008D3B44" w:rsidRPr="00010AA6" w:rsidRDefault="008D3B44" w:rsidP="00356323">
      <w:pPr>
        <w:widowControl w:val="0"/>
        <w:suppressAutoHyphens/>
        <w:autoSpaceDE w:val="0"/>
        <w:autoSpaceDN w:val="0"/>
        <w:adjustRightInd w:val="0"/>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Essa dovrà contenere, a pena di esclusione:</w:t>
      </w:r>
    </w:p>
    <w:p w14:paraId="3345E371" w14:textId="0EC6DF69" w:rsidR="003057E0" w:rsidRDefault="003057E0" w:rsidP="003057E0">
      <w:pPr>
        <w:spacing w:before="30" w:line="276" w:lineRule="auto"/>
        <w:jc w:val="both"/>
        <w:rPr>
          <w:color w:val="000000"/>
          <w:sz w:val="22"/>
          <w:szCs w:val="22"/>
        </w:rPr>
      </w:pPr>
    </w:p>
    <w:p w14:paraId="12E63F64" w14:textId="706023AF" w:rsidR="008D3B44" w:rsidRPr="00010AA6" w:rsidRDefault="008D3B44" w:rsidP="00356323">
      <w:pPr>
        <w:numPr>
          <w:ilvl w:val="0"/>
          <w:numId w:val="6"/>
        </w:numPr>
        <w:spacing w:before="30" w:line="276" w:lineRule="auto"/>
        <w:jc w:val="both"/>
        <w:rPr>
          <w:color w:val="000000"/>
          <w:sz w:val="22"/>
          <w:szCs w:val="22"/>
        </w:rPr>
      </w:pPr>
      <w:r w:rsidRPr="00010AA6">
        <w:rPr>
          <w:color w:val="000000"/>
          <w:sz w:val="22"/>
          <w:szCs w:val="22"/>
        </w:rPr>
        <w:t>Autodichiarazione di regolarità fiscale, contributiva e previdenziale (non è ammessa la produzione di D.U.R.C acquisibile dall’Ente solo d’ufficio) compilando la documentazione all’uopo allegata;</w:t>
      </w:r>
    </w:p>
    <w:p w14:paraId="261A9A00" w14:textId="33CB1FCA" w:rsidR="008D3B44" w:rsidRPr="00010AA6" w:rsidRDefault="008D3B44" w:rsidP="00356323">
      <w:pPr>
        <w:numPr>
          <w:ilvl w:val="0"/>
          <w:numId w:val="6"/>
        </w:numPr>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Dichiarazione di accettazione</w:t>
      </w:r>
      <w:r w:rsidR="00181241" w:rsidRPr="00010AA6">
        <w:rPr>
          <w:rFonts w:eastAsia="Times New Roman"/>
          <w:color w:val="000000"/>
          <w:sz w:val="22"/>
          <w:szCs w:val="22"/>
          <w:lang w:eastAsia="ar-SA"/>
        </w:rPr>
        <w:t xml:space="preserve"> espressa</w:t>
      </w:r>
      <w:r w:rsidRPr="00010AA6">
        <w:rPr>
          <w:rFonts w:eastAsia="Times New Roman"/>
          <w:color w:val="000000"/>
          <w:sz w:val="22"/>
          <w:szCs w:val="22"/>
          <w:lang w:eastAsia="ar-SA"/>
        </w:rPr>
        <w:t xml:space="preserve"> del presente disciplinare</w:t>
      </w:r>
      <w:r w:rsidR="00181241" w:rsidRPr="00010AA6">
        <w:rPr>
          <w:rFonts w:eastAsia="Times New Roman"/>
          <w:color w:val="000000"/>
          <w:sz w:val="22"/>
          <w:szCs w:val="22"/>
          <w:lang w:eastAsia="ar-SA"/>
        </w:rPr>
        <w:t xml:space="preserve"> e degli obblighi ivi previsti;</w:t>
      </w:r>
    </w:p>
    <w:p w14:paraId="6592AE17" w14:textId="77777777" w:rsidR="008D3B44" w:rsidRPr="00010AA6" w:rsidRDefault="008D3B44" w:rsidP="00356323">
      <w:pPr>
        <w:numPr>
          <w:ilvl w:val="0"/>
          <w:numId w:val="6"/>
        </w:numPr>
        <w:spacing w:before="30" w:line="276" w:lineRule="auto"/>
        <w:jc w:val="both"/>
        <w:rPr>
          <w:rFonts w:eastAsia="Times New Roman"/>
          <w:color w:val="000000"/>
          <w:sz w:val="22"/>
          <w:szCs w:val="22"/>
          <w:lang w:eastAsia="ar-SA"/>
        </w:rPr>
      </w:pPr>
      <w:r w:rsidRPr="00010AA6">
        <w:rPr>
          <w:noProof/>
          <w:color w:val="000000"/>
          <w:sz w:val="22"/>
          <w:szCs w:val="22"/>
          <w:lang w:eastAsia="it-IT"/>
        </w:rPr>
        <w:lastRenderedPageBreak/>
        <w:t>Dichiarazione che il bene demaniale è ritenuto idoneo allo svolgimento della attività programmata per cui, in caso di aggiudicazione, esso  viene integralmente accettato nello stato in cui si trova, con rinuncia a qualsiasi richiesta di interventi di modifica, integrazione, manutenzione, ecc., nei confronti della AdSP.</w:t>
      </w:r>
    </w:p>
    <w:p w14:paraId="472D9C1F" w14:textId="77777777" w:rsidR="008D3B44" w:rsidRPr="00010AA6" w:rsidRDefault="008D3B44" w:rsidP="00356323">
      <w:pPr>
        <w:numPr>
          <w:ilvl w:val="0"/>
          <w:numId w:val="6"/>
        </w:numPr>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Dichiarazione nella quale sia attestata la sussistenza o meno di situazioni di controllo di cui all’art. 2359 c.c.  rispetto alle altre Ditte o soggetti partecipanti.</w:t>
      </w:r>
    </w:p>
    <w:p w14:paraId="20D0605A" w14:textId="500FBDF8" w:rsidR="002C641D" w:rsidRPr="00010AA6" w:rsidRDefault="008D3B44" w:rsidP="00356323">
      <w:pPr>
        <w:numPr>
          <w:ilvl w:val="0"/>
          <w:numId w:val="6"/>
        </w:numPr>
        <w:spacing w:before="30" w:line="276" w:lineRule="auto"/>
        <w:jc w:val="both"/>
        <w:rPr>
          <w:rFonts w:eastAsia="Times New Roman"/>
          <w:color w:val="000000"/>
          <w:sz w:val="22"/>
          <w:szCs w:val="22"/>
          <w:lang w:eastAsia="ar-SA"/>
        </w:rPr>
      </w:pPr>
      <w:bookmarkStart w:id="2" w:name="_Hlk188030278"/>
      <w:r w:rsidRPr="00010AA6">
        <w:rPr>
          <w:noProof/>
          <w:color w:val="000000"/>
          <w:sz w:val="22"/>
          <w:szCs w:val="22"/>
          <w:lang w:eastAsia="it-IT"/>
        </w:rPr>
        <w:t>Dichiarazione di impegno ad effettuare ogni necessario intervento</w:t>
      </w:r>
      <w:r w:rsidR="003D2D97" w:rsidRPr="00010AA6">
        <w:rPr>
          <w:noProof/>
          <w:color w:val="000000"/>
          <w:sz w:val="22"/>
          <w:szCs w:val="22"/>
          <w:lang w:eastAsia="it-IT"/>
        </w:rPr>
        <w:t xml:space="preserve"> manutentivo</w:t>
      </w:r>
      <w:r w:rsidRPr="00010AA6">
        <w:rPr>
          <w:noProof/>
          <w:color w:val="000000"/>
          <w:sz w:val="22"/>
          <w:szCs w:val="22"/>
          <w:lang w:eastAsia="it-IT"/>
        </w:rPr>
        <w:t>,</w:t>
      </w:r>
      <w:r w:rsidR="009D0211" w:rsidRPr="00010AA6">
        <w:rPr>
          <w:noProof/>
          <w:color w:val="000000"/>
          <w:sz w:val="22"/>
          <w:szCs w:val="22"/>
          <w:lang w:eastAsia="it-IT"/>
        </w:rPr>
        <w:t xml:space="preserve"> sia di ordinaria che di straordinaria manutenzione ed ogni necessario intervento funzionale ad assicurare </w:t>
      </w:r>
      <w:r w:rsidR="00B378E2" w:rsidRPr="00010AA6">
        <w:rPr>
          <w:noProof/>
          <w:color w:val="000000"/>
          <w:sz w:val="22"/>
          <w:szCs w:val="22"/>
          <w:lang w:eastAsia="it-IT"/>
        </w:rPr>
        <w:t>il corretto utilizzo del bene demaniale nel rispetto dell</w:t>
      </w:r>
      <w:r w:rsidR="002C641D" w:rsidRPr="00010AA6">
        <w:rPr>
          <w:noProof/>
          <w:color w:val="000000"/>
          <w:sz w:val="22"/>
          <w:szCs w:val="22"/>
          <w:lang w:eastAsia="it-IT"/>
        </w:rPr>
        <w:t>e norme di legge applicabili</w:t>
      </w:r>
      <w:bookmarkEnd w:id="2"/>
      <w:r w:rsidR="002C641D" w:rsidRPr="00010AA6">
        <w:rPr>
          <w:noProof/>
          <w:color w:val="000000"/>
          <w:sz w:val="22"/>
          <w:szCs w:val="22"/>
          <w:lang w:eastAsia="it-IT"/>
        </w:rPr>
        <w:t>.</w:t>
      </w:r>
    </w:p>
    <w:p w14:paraId="7A27CE4C" w14:textId="2B24FEDB" w:rsidR="008D3B44" w:rsidRPr="00010AA6" w:rsidRDefault="008D3B44" w:rsidP="00356323">
      <w:pPr>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La suddetta busta </w:t>
      </w:r>
      <w:r w:rsidRPr="00010AA6">
        <w:rPr>
          <w:rFonts w:eastAsia="Times New Roman"/>
          <w:color w:val="000000"/>
          <w:sz w:val="22"/>
          <w:szCs w:val="22"/>
          <w:u w:val="single"/>
          <w:lang w:eastAsia="ar-SA"/>
        </w:rPr>
        <w:t>dovrà essere sigillata con nastro adesivo o ceralacca, controfirmata sui lembi di chiusura e riportare il nominativo del concorrente e la dicitura</w:t>
      </w:r>
      <w:r w:rsidRPr="00010AA6">
        <w:rPr>
          <w:rFonts w:eastAsia="Times New Roman"/>
          <w:color w:val="000000"/>
          <w:sz w:val="22"/>
          <w:szCs w:val="22"/>
          <w:lang w:eastAsia="ar-SA"/>
        </w:rPr>
        <w:t>:</w:t>
      </w:r>
    </w:p>
    <w:p w14:paraId="64223CBB" w14:textId="77777777" w:rsidR="008D3B44" w:rsidRPr="00010AA6" w:rsidRDefault="008D3B44" w:rsidP="00356323">
      <w:pPr>
        <w:spacing w:before="30" w:line="276" w:lineRule="auto"/>
        <w:jc w:val="both"/>
        <w:rPr>
          <w:rFonts w:eastAsia="Times New Roman"/>
          <w:color w:val="000000"/>
          <w:sz w:val="22"/>
          <w:szCs w:val="22"/>
          <w:lang w:eastAsia="ar-SA"/>
        </w:rPr>
      </w:pPr>
    </w:p>
    <w:p w14:paraId="1080CD58" w14:textId="629580AA" w:rsidR="008D3B44" w:rsidRPr="00010AA6" w:rsidRDefault="008D3B44" w:rsidP="00356323">
      <w:pPr>
        <w:spacing w:before="30" w:line="276" w:lineRule="auto"/>
        <w:jc w:val="both"/>
        <w:rPr>
          <w:color w:val="000000"/>
          <w:sz w:val="22"/>
          <w:szCs w:val="22"/>
        </w:rPr>
      </w:pPr>
      <w:r w:rsidRPr="00C64F17">
        <w:rPr>
          <w:rFonts w:eastAsia="Times New Roman"/>
          <w:i/>
          <w:color w:val="000000"/>
          <w:sz w:val="22"/>
          <w:szCs w:val="22"/>
          <w:lang w:eastAsia="ar-SA"/>
        </w:rPr>
        <w:t>“</w:t>
      </w:r>
      <w:r w:rsidRPr="00C64F17">
        <w:rPr>
          <w:rFonts w:eastAsia="Times New Roman"/>
          <w:b/>
          <w:i/>
          <w:color w:val="000000"/>
          <w:sz w:val="22"/>
          <w:szCs w:val="22"/>
          <w:lang w:eastAsia="ar-SA"/>
        </w:rPr>
        <w:t>BUSTA A – Documentazione amministrativa</w:t>
      </w:r>
      <w:r w:rsidRPr="00C64F17">
        <w:rPr>
          <w:rFonts w:eastAsia="Times New Roman"/>
          <w:color w:val="000000"/>
          <w:sz w:val="22"/>
          <w:szCs w:val="22"/>
          <w:lang w:eastAsia="ar-SA"/>
        </w:rPr>
        <w:t xml:space="preserve"> - </w:t>
      </w:r>
      <w:r w:rsidR="00C84478" w:rsidRPr="00C64F17">
        <w:rPr>
          <w:rFonts w:eastAsia="Times New Roman"/>
          <w:i/>
          <w:color w:val="000000"/>
          <w:sz w:val="22"/>
          <w:szCs w:val="22"/>
          <w:lang w:eastAsia="ar-SA"/>
        </w:rPr>
        <w:t xml:space="preserve">Procedura comparativa finalizzata al rilascio di concessione demaniale marittima avente ad oggetto uno scalo per alaggio e varo di imbarcazioni – AN74 - </w:t>
      </w:r>
      <w:r w:rsidR="00C84478" w:rsidRPr="00C64F17">
        <w:rPr>
          <w:i/>
          <w:color w:val="000000"/>
          <w:sz w:val="22"/>
          <w:szCs w:val="22"/>
        </w:rPr>
        <w:t>NON APRIRE</w:t>
      </w:r>
      <w:r w:rsidRPr="00C64F17">
        <w:rPr>
          <w:i/>
          <w:color w:val="000000"/>
          <w:sz w:val="22"/>
          <w:szCs w:val="22"/>
        </w:rPr>
        <w:t>”</w:t>
      </w:r>
      <w:r w:rsidRPr="00C64F17">
        <w:rPr>
          <w:color w:val="000000"/>
          <w:sz w:val="22"/>
          <w:szCs w:val="22"/>
        </w:rPr>
        <w:t>.</w:t>
      </w:r>
      <w:r w:rsidRPr="00010AA6">
        <w:rPr>
          <w:sz w:val="22"/>
          <w:szCs w:val="22"/>
        </w:rPr>
        <w:t xml:space="preserve"> </w:t>
      </w:r>
    </w:p>
    <w:p w14:paraId="385262AA" w14:textId="77777777" w:rsidR="008D3B44" w:rsidRPr="00010AA6" w:rsidRDefault="008D3B44" w:rsidP="00356323">
      <w:pPr>
        <w:spacing w:before="30" w:line="276" w:lineRule="auto"/>
        <w:jc w:val="both"/>
        <w:rPr>
          <w:color w:val="000000"/>
          <w:sz w:val="22"/>
          <w:szCs w:val="22"/>
        </w:rPr>
      </w:pPr>
    </w:p>
    <w:p w14:paraId="28F5461E" w14:textId="6547E2D1" w:rsidR="00B378E2" w:rsidRPr="00010AA6" w:rsidRDefault="00B378E2"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r w:rsidRPr="00010AA6">
        <w:rPr>
          <w:rFonts w:eastAsia="Times New Roman"/>
          <w:b/>
          <w:color w:val="000000"/>
          <w:sz w:val="22"/>
          <w:szCs w:val="22"/>
          <w:u w:val="single"/>
          <w:lang w:eastAsia="ar-SA"/>
        </w:rPr>
        <w:t>BUSTA B - OFFERTA TECNICA</w:t>
      </w:r>
    </w:p>
    <w:p w14:paraId="42CD493B" w14:textId="7CE8A649" w:rsidR="00B378E2" w:rsidRPr="00010AA6" w:rsidRDefault="00B378E2"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bCs/>
          <w:color w:val="000000" w:themeColor="text1"/>
          <w:sz w:val="22"/>
          <w:szCs w:val="22"/>
        </w:rPr>
        <w:t>Nella busta B dovrà essere inserita la seguente documentazione:</w:t>
      </w:r>
    </w:p>
    <w:p w14:paraId="391E25F6" w14:textId="7E251D30" w:rsidR="005D75FF" w:rsidRPr="005D75FF" w:rsidRDefault="005D75FF" w:rsidP="00356323">
      <w:pPr>
        <w:pStyle w:val="Paragrafoelenco"/>
        <w:widowControl w:val="0"/>
        <w:numPr>
          <w:ilvl w:val="0"/>
          <w:numId w:val="15"/>
        </w:numPr>
        <w:suppressAutoHyphens/>
        <w:autoSpaceDE w:val="0"/>
        <w:autoSpaceDN w:val="0"/>
        <w:adjustRightInd w:val="0"/>
        <w:spacing w:before="30" w:line="276" w:lineRule="auto"/>
        <w:rPr>
          <w:rFonts w:eastAsia="Times New Roman"/>
          <w:bCs/>
          <w:color w:val="000000"/>
          <w:sz w:val="22"/>
          <w:szCs w:val="22"/>
          <w:lang w:eastAsia="ar-SA"/>
        </w:rPr>
      </w:pPr>
      <w:r>
        <w:rPr>
          <w:rFonts w:eastAsia="Times New Roman"/>
          <w:bCs/>
          <w:color w:val="000000"/>
          <w:sz w:val="22"/>
          <w:szCs w:val="22"/>
          <w:lang w:eastAsia="ar-SA"/>
        </w:rPr>
        <w:t xml:space="preserve">Relazione </w:t>
      </w:r>
      <w:r w:rsidR="00F201AC">
        <w:rPr>
          <w:rFonts w:eastAsia="Times New Roman"/>
          <w:bCs/>
          <w:color w:val="000000"/>
          <w:sz w:val="22"/>
          <w:szCs w:val="22"/>
          <w:lang w:eastAsia="ar-SA"/>
        </w:rPr>
        <w:t xml:space="preserve">relativa alla proposta </w:t>
      </w:r>
      <w:r>
        <w:rPr>
          <w:rFonts w:eastAsia="Times New Roman"/>
          <w:bCs/>
          <w:color w:val="000000"/>
          <w:sz w:val="22"/>
          <w:szCs w:val="22"/>
          <w:lang w:eastAsia="ar-SA"/>
        </w:rPr>
        <w:t xml:space="preserve">tecnica </w:t>
      </w:r>
      <w:r w:rsidR="003C513F">
        <w:rPr>
          <w:rFonts w:eastAsia="Times New Roman"/>
          <w:bCs/>
          <w:color w:val="000000"/>
          <w:sz w:val="22"/>
          <w:szCs w:val="22"/>
          <w:lang w:eastAsia="ar-SA"/>
        </w:rPr>
        <w:t xml:space="preserve">descrittiva </w:t>
      </w:r>
      <w:r>
        <w:rPr>
          <w:rFonts w:eastAsia="Times New Roman"/>
          <w:bCs/>
          <w:color w:val="000000"/>
          <w:sz w:val="22"/>
          <w:szCs w:val="22"/>
          <w:lang w:eastAsia="ar-SA"/>
        </w:rPr>
        <w:t>relativa alle</w:t>
      </w:r>
      <w:r w:rsidR="003C513F">
        <w:rPr>
          <w:rFonts w:eastAsia="Times New Roman"/>
          <w:bCs/>
          <w:color w:val="000000"/>
          <w:sz w:val="22"/>
          <w:szCs w:val="22"/>
          <w:lang w:eastAsia="ar-SA"/>
        </w:rPr>
        <w:t xml:space="preserve"> modalità organizzative nonché ai mezzi e alle </w:t>
      </w:r>
      <w:r w:rsidR="00EE1457">
        <w:rPr>
          <w:rFonts w:eastAsia="Times New Roman"/>
          <w:bCs/>
          <w:color w:val="000000"/>
          <w:sz w:val="22"/>
          <w:szCs w:val="22"/>
          <w:lang w:eastAsia="ar-SA"/>
        </w:rPr>
        <w:t xml:space="preserve">attrezzature </w:t>
      </w:r>
      <w:r>
        <w:rPr>
          <w:rFonts w:eastAsia="Times New Roman"/>
          <w:bCs/>
          <w:color w:val="000000"/>
          <w:sz w:val="22"/>
          <w:szCs w:val="22"/>
          <w:lang w:eastAsia="ar-SA"/>
        </w:rPr>
        <w:t xml:space="preserve"> che saranno utilizzate per </w:t>
      </w:r>
      <w:r w:rsidR="00EE1457">
        <w:rPr>
          <w:rFonts w:eastAsia="Times New Roman"/>
          <w:bCs/>
          <w:color w:val="000000"/>
          <w:sz w:val="22"/>
          <w:szCs w:val="22"/>
          <w:lang w:eastAsia="ar-SA"/>
        </w:rPr>
        <w:t>svolgere le attività di varo e alaggio in sicurezza ed efficienza</w:t>
      </w:r>
      <w:r w:rsidR="003C513F">
        <w:rPr>
          <w:rFonts w:eastAsia="Times New Roman"/>
          <w:bCs/>
          <w:color w:val="000000"/>
          <w:sz w:val="22"/>
          <w:szCs w:val="22"/>
          <w:lang w:eastAsia="ar-SA"/>
        </w:rPr>
        <w:t>, comprensiva di eventuali proposte migliorative relative all’accessibilità e utilizzabilità dello scivolo</w:t>
      </w:r>
      <w:r w:rsidR="00EE1457">
        <w:rPr>
          <w:rFonts w:eastAsia="Times New Roman"/>
          <w:bCs/>
          <w:color w:val="000000"/>
          <w:sz w:val="22"/>
          <w:szCs w:val="22"/>
          <w:lang w:eastAsia="ar-SA"/>
        </w:rPr>
        <w:t>;</w:t>
      </w:r>
    </w:p>
    <w:p w14:paraId="0B8B3D10" w14:textId="5F766E7D" w:rsidR="00F201AC" w:rsidRPr="00010AA6" w:rsidRDefault="00F201AC" w:rsidP="00F201AC">
      <w:pPr>
        <w:pStyle w:val="Paragrafoelenco"/>
        <w:widowControl w:val="0"/>
        <w:numPr>
          <w:ilvl w:val="0"/>
          <w:numId w:val="15"/>
        </w:numPr>
        <w:suppressAutoHyphens/>
        <w:autoSpaceDE w:val="0"/>
        <w:autoSpaceDN w:val="0"/>
        <w:adjustRightInd w:val="0"/>
        <w:spacing w:before="30" w:line="276" w:lineRule="auto"/>
        <w:rPr>
          <w:rFonts w:eastAsia="Times New Roman"/>
          <w:bCs/>
          <w:color w:val="000000"/>
          <w:sz w:val="22"/>
          <w:szCs w:val="22"/>
          <w:lang w:eastAsia="ar-SA"/>
        </w:rPr>
      </w:pPr>
      <w:r w:rsidRPr="00010AA6">
        <w:rPr>
          <w:rFonts w:eastAsia="Times New Roman"/>
          <w:bCs/>
          <w:color w:val="000000"/>
          <w:sz w:val="22"/>
          <w:szCs w:val="22"/>
          <w:lang w:eastAsia="ar-SA"/>
        </w:rPr>
        <w:t>Tariffe di alaggio e varo delle imbarcazioni</w:t>
      </w:r>
      <w:r>
        <w:rPr>
          <w:rFonts w:eastAsia="Times New Roman"/>
          <w:bCs/>
          <w:color w:val="000000"/>
          <w:sz w:val="22"/>
          <w:szCs w:val="22"/>
          <w:lang w:eastAsia="ar-SA"/>
        </w:rPr>
        <w:t xml:space="preserve">: </w:t>
      </w:r>
      <w:r w:rsidRPr="003C513F">
        <w:rPr>
          <w:rFonts w:eastAsia="Times New Roman"/>
          <w:bCs/>
          <w:color w:val="000000"/>
          <w:sz w:val="22"/>
          <w:szCs w:val="22"/>
          <w:lang w:eastAsia="ar-SA"/>
        </w:rPr>
        <w:t>Dichiarazione nella quale il concorrente dovrà inserire le tariffe da applicare per le operazioni di alaggio e varo suddivise in relazione alla lunghezza delle imbarcazioni per unità fino a ml. 5,00, per unità da ml. 5,01 a ml. 10,00 e per unità oltre ml. 10,00. Ogni singola tariffa avrà un peso di 10 punti. Dovrà essere indicata anche la tipologia di attrezzatura che verrà utilizzata a tale scopo (es. travel lift, ecc.) nei limiti di portata delle strutture costituenti lo scalo</w:t>
      </w:r>
      <w:r>
        <w:rPr>
          <w:rFonts w:eastAsia="Times New Roman"/>
          <w:bCs/>
          <w:color w:val="000000"/>
          <w:sz w:val="22"/>
          <w:szCs w:val="22"/>
          <w:lang w:eastAsia="ar-SA"/>
        </w:rPr>
        <w:t>;</w:t>
      </w:r>
    </w:p>
    <w:p w14:paraId="777DD839" w14:textId="77777777" w:rsidR="00B378E2" w:rsidRPr="00010AA6" w:rsidRDefault="00B378E2"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p>
    <w:p w14:paraId="30C720DE" w14:textId="77777777" w:rsidR="008B13FD" w:rsidRPr="00010AA6" w:rsidRDefault="008B13FD" w:rsidP="00356323">
      <w:pPr>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La busta in analisi </w:t>
      </w:r>
      <w:r w:rsidRPr="00010AA6">
        <w:rPr>
          <w:rFonts w:eastAsia="Times New Roman"/>
          <w:color w:val="000000"/>
          <w:sz w:val="22"/>
          <w:szCs w:val="22"/>
          <w:u w:val="single"/>
          <w:lang w:eastAsia="ar-SA"/>
        </w:rPr>
        <w:t>dovrà essere sigillata con nastro adesivo o ceralacca, controfirmata sui lembi di chiusura e riportare il nominativo dell'operatore economico e la dicitura</w:t>
      </w:r>
      <w:r w:rsidRPr="00010AA6">
        <w:rPr>
          <w:rFonts w:eastAsia="Times New Roman"/>
          <w:color w:val="000000"/>
          <w:sz w:val="22"/>
          <w:szCs w:val="22"/>
          <w:lang w:eastAsia="ar-SA"/>
        </w:rPr>
        <w:t>:</w:t>
      </w:r>
    </w:p>
    <w:p w14:paraId="6244ADED" w14:textId="77777777" w:rsidR="008B13FD" w:rsidRPr="00010AA6" w:rsidRDefault="008B13FD" w:rsidP="00356323">
      <w:pPr>
        <w:spacing w:before="30" w:line="276" w:lineRule="auto"/>
        <w:jc w:val="both"/>
        <w:rPr>
          <w:rFonts w:eastAsia="Times New Roman"/>
          <w:color w:val="000000"/>
          <w:sz w:val="22"/>
          <w:szCs w:val="22"/>
          <w:lang w:eastAsia="ar-SA"/>
        </w:rPr>
      </w:pPr>
    </w:p>
    <w:p w14:paraId="4B566A44" w14:textId="34C27952" w:rsidR="008B13FD" w:rsidRPr="00010AA6" w:rsidRDefault="008B13FD"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r w:rsidRPr="00C64F17">
        <w:rPr>
          <w:rFonts w:eastAsia="Times New Roman"/>
          <w:b/>
          <w:i/>
          <w:color w:val="000000"/>
          <w:sz w:val="22"/>
          <w:szCs w:val="22"/>
          <w:lang w:eastAsia="ar-SA"/>
        </w:rPr>
        <w:t xml:space="preserve">“BUSTA </w:t>
      </w:r>
      <w:r w:rsidR="00254F1A">
        <w:rPr>
          <w:rFonts w:eastAsia="Times New Roman"/>
          <w:b/>
          <w:i/>
          <w:color w:val="000000"/>
          <w:sz w:val="22"/>
          <w:szCs w:val="22"/>
          <w:lang w:eastAsia="ar-SA"/>
        </w:rPr>
        <w:t>B</w:t>
      </w:r>
      <w:r w:rsidRPr="00C64F17">
        <w:rPr>
          <w:rFonts w:eastAsia="Times New Roman"/>
          <w:b/>
          <w:i/>
          <w:color w:val="000000"/>
          <w:sz w:val="22"/>
          <w:szCs w:val="22"/>
          <w:lang w:eastAsia="ar-SA"/>
        </w:rPr>
        <w:t xml:space="preserve"> - OFFERTA </w:t>
      </w:r>
      <w:r w:rsidR="00254F1A">
        <w:rPr>
          <w:rFonts w:eastAsia="Times New Roman"/>
          <w:b/>
          <w:i/>
          <w:color w:val="000000"/>
          <w:sz w:val="22"/>
          <w:szCs w:val="22"/>
          <w:lang w:eastAsia="ar-SA"/>
        </w:rPr>
        <w:t>TECNICA</w:t>
      </w:r>
      <w:r w:rsidRPr="00C64F17">
        <w:rPr>
          <w:rFonts w:eastAsia="Times New Roman"/>
          <w:color w:val="000000"/>
          <w:sz w:val="22"/>
          <w:szCs w:val="22"/>
          <w:lang w:eastAsia="ar-SA"/>
        </w:rPr>
        <w:t xml:space="preserve"> - </w:t>
      </w:r>
      <w:r w:rsidR="00C84478" w:rsidRPr="00C64F17">
        <w:rPr>
          <w:rFonts w:eastAsia="Times New Roman"/>
          <w:i/>
          <w:color w:val="000000"/>
          <w:sz w:val="22"/>
          <w:szCs w:val="22"/>
          <w:lang w:eastAsia="ar-SA"/>
        </w:rPr>
        <w:t xml:space="preserve">Procedura comparativa finalizzata al rilascio di concessione demaniale marittima avente ad oggetto uno scalo per alaggio e varo di imbarcazioni – AN74 - </w:t>
      </w:r>
      <w:r w:rsidR="00C84478" w:rsidRPr="00C64F17">
        <w:rPr>
          <w:i/>
          <w:color w:val="000000"/>
          <w:sz w:val="22"/>
          <w:szCs w:val="22"/>
        </w:rPr>
        <w:t>NON APRIRE</w:t>
      </w:r>
      <w:r w:rsidRPr="00C64F17">
        <w:rPr>
          <w:i/>
          <w:color w:val="000000"/>
          <w:sz w:val="22"/>
          <w:szCs w:val="22"/>
        </w:rPr>
        <w:t>”</w:t>
      </w:r>
      <w:r w:rsidRPr="00C64F17">
        <w:rPr>
          <w:color w:val="000000"/>
          <w:sz w:val="22"/>
          <w:szCs w:val="22"/>
        </w:rPr>
        <w:t>.</w:t>
      </w:r>
    </w:p>
    <w:p w14:paraId="6A649C25" w14:textId="77777777" w:rsidR="008B13FD" w:rsidRPr="00010AA6" w:rsidRDefault="008B13FD"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p>
    <w:p w14:paraId="4B9FE85A" w14:textId="67083874" w:rsidR="008D3B44" w:rsidRPr="00010AA6" w:rsidRDefault="008D3B44" w:rsidP="00356323">
      <w:pPr>
        <w:widowControl w:val="0"/>
        <w:suppressAutoHyphens/>
        <w:autoSpaceDE w:val="0"/>
        <w:autoSpaceDN w:val="0"/>
        <w:adjustRightInd w:val="0"/>
        <w:spacing w:before="30" w:line="276" w:lineRule="auto"/>
        <w:jc w:val="both"/>
        <w:rPr>
          <w:rFonts w:eastAsia="Times New Roman"/>
          <w:b/>
          <w:color w:val="000000"/>
          <w:sz w:val="22"/>
          <w:szCs w:val="22"/>
          <w:u w:val="single"/>
          <w:lang w:eastAsia="ar-SA"/>
        </w:rPr>
      </w:pPr>
      <w:r w:rsidRPr="00010AA6">
        <w:rPr>
          <w:rFonts w:eastAsia="Times New Roman"/>
          <w:b/>
          <w:color w:val="000000"/>
          <w:sz w:val="22"/>
          <w:szCs w:val="22"/>
          <w:u w:val="single"/>
          <w:lang w:eastAsia="ar-SA"/>
        </w:rPr>
        <w:t xml:space="preserve">BUSTA </w:t>
      </w:r>
      <w:r w:rsidR="008E1A8F" w:rsidRPr="00010AA6">
        <w:rPr>
          <w:rFonts w:eastAsia="Times New Roman"/>
          <w:b/>
          <w:color w:val="000000"/>
          <w:sz w:val="22"/>
          <w:szCs w:val="22"/>
          <w:u w:val="single"/>
          <w:lang w:eastAsia="ar-SA"/>
        </w:rPr>
        <w:t>C</w:t>
      </w:r>
      <w:r w:rsidRPr="00010AA6">
        <w:rPr>
          <w:rFonts w:eastAsia="Times New Roman"/>
          <w:b/>
          <w:color w:val="000000"/>
          <w:sz w:val="22"/>
          <w:szCs w:val="22"/>
          <w:u w:val="single"/>
          <w:lang w:eastAsia="ar-SA"/>
        </w:rPr>
        <w:t xml:space="preserve"> </w:t>
      </w:r>
      <w:r w:rsidR="007E7FF2" w:rsidRPr="00010AA6">
        <w:rPr>
          <w:rFonts w:eastAsia="Times New Roman"/>
          <w:b/>
          <w:color w:val="000000"/>
          <w:sz w:val="22"/>
          <w:szCs w:val="22"/>
          <w:u w:val="single"/>
          <w:lang w:eastAsia="ar-SA"/>
        </w:rPr>
        <w:t xml:space="preserve">- </w:t>
      </w:r>
      <w:r w:rsidRPr="00010AA6">
        <w:rPr>
          <w:rFonts w:eastAsia="Times New Roman"/>
          <w:b/>
          <w:color w:val="000000"/>
          <w:sz w:val="22"/>
          <w:szCs w:val="22"/>
          <w:u w:val="single"/>
          <w:lang w:eastAsia="ar-SA"/>
        </w:rPr>
        <w:t>OFFERTA ECONOMICA</w:t>
      </w:r>
    </w:p>
    <w:p w14:paraId="50A1A14E" w14:textId="77777777" w:rsidR="008D3B44" w:rsidRPr="00010AA6" w:rsidRDefault="008D3B44" w:rsidP="00356323">
      <w:pPr>
        <w:spacing w:before="30" w:line="276" w:lineRule="auto"/>
        <w:jc w:val="both"/>
        <w:rPr>
          <w:rFonts w:eastAsia="Times New Roman"/>
          <w:color w:val="000000"/>
          <w:sz w:val="22"/>
          <w:szCs w:val="22"/>
          <w:lang w:eastAsia="ar-SA"/>
        </w:rPr>
      </w:pPr>
    </w:p>
    <w:p w14:paraId="63B61AA8" w14:textId="0892588F" w:rsidR="008D3B44" w:rsidRPr="00010AA6" w:rsidRDefault="008D3B44" w:rsidP="00356323">
      <w:pPr>
        <w:spacing w:before="30" w:line="276" w:lineRule="auto"/>
        <w:jc w:val="both"/>
        <w:rPr>
          <w:rFonts w:eastAsia="Times New Roman"/>
          <w:color w:val="000000"/>
          <w:sz w:val="22"/>
          <w:szCs w:val="22"/>
          <w:u w:val="single"/>
          <w:lang w:eastAsia="ar-SA"/>
        </w:rPr>
      </w:pPr>
      <w:r w:rsidRPr="00010AA6">
        <w:rPr>
          <w:rFonts w:eastAsia="Times New Roman"/>
          <w:color w:val="000000"/>
          <w:sz w:val="22"/>
          <w:szCs w:val="22"/>
          <w:lang w:eastAsia="ar-SA"/>
        </w:rPr>
        <w:lastRenderedPageBreak/>
        <w:t xml:space="preserve">Nella busta </w:t>
      </w:r>
      <w:r w:rsidR="008B13FD" w:rsidRPr="00010AA6">
        <w:rPr>
          <w:rFonts w:eastAsia="Times New Roman"/>
          <w:color w:val="000000"/>
          <w:sz w:val="22"/>
          <w:szCs w:val="22"/>
          <w:lang w:eastAsia="ar-SA"/>
        </w:rPr>
        <w:t>C</w:t>
      </w:r>
      <w:r w:rsidRPr="00010AA6">
        <w:rPr>
          <w:rFonts w:eastAsia="Times New Roman"/>
          <w:color w:val="000000"/>
          <w:sz w:val="22"/>
          <w:szCs w:val="22"/>
          <w:lang w:eastAsia="ar-SA"/>
        </w:rPr>
        <w:t xml:space="preserve"> dovrà essere inserita una dichiarazione con cui il legale rappresentante dichiara </w:t>
      </w:r>
      <w:r w:rsidRPr="00010AA6">
        <w:rPr>
          <w:rFonts w:eastAsia="Times New Roman"/>
          <w:b/>
          <w:color w:val="000000"/>
          <w:sz w:val="22"/>
          <w:szCs w:val="22"/>
          <w:u w:val="single"/>
          <w:lang w:eastAsia="ar-SA"/>
        </w:rPr>
        <w:t xml:space="preserve">la percentuale di rialzo, con due decimali, offerta rispetto all’importo di </w:t>
      </w:r>
      <w:r w:rsidRPr="00010AA6">
        <w:rPr>
          <w:b/>
          <w:bCs/>
          <w:sz w:val="22"/>
          <w:szCs w:val="22"/>
          <w:u w:val="single"/>
        </w:rPr>
        <w:t xml:space="preserve">€ </w:t>
      </w:r>
      <w:r w:rsidR="006516D1" w:rsidRPr="00010AA6">
        <w:rPr>
          <w:b/>
          <w:bCs/>
          <w:sz w:val="22"/>
          <w:szCs w:val="22"/>
          <w:u w:val="single"/>
        </w:rPr>
        <w:t>3.204,53</w:t>
      </w:r>
      <w:r w:rsidRPr="00010AA6">
        <w:rPr>
          <w:b/>
          <w:bCs/>
          <w:sz w:val="22"/>
          <w:szCs w:val="22"/>
          <w:u w:val="single"/>
        </w:rPr>
        <w:t xml:space="preserve"> </w:t>
      </w:r>
      <w:r w:rsidRPr="00010AA6">
        <w:rPr>
          <w:rFonts w:eastAsia="Times New Roman"/>
          <w:b/>
          <w:color w:val="000000"/>
          <w:sz w:val="22"/>
          <w:szCs w:val="22"/>
          <w:u w:val="single"/>
          <w:lang w:eastAsia="ar-SA"/>
        </w:rPr>
        <w:t xml:space="preserve">posto a base di </w:t>
      </w:r>
      <w:r w:rsidRPr="00010AA6">
        <w:rPr>
          <w:b/>
          <w:noProof/>
          <w:color w:val="000000"/>
          <w:sz w:val="22"/>
          <w:szCs w:val="22"/>
          <w:u w:val="single"/>
          <w:lang w:eastAsia="it-IT"/>
        </w:rPr>
        <w:t>procedura comparativa</w:t>
      </w:r>
      <w:r w:rsidRPr="00010AA6">
        <w:rPr>
          <w:rFonts w:eastAsia="Times New Roman"/>
          <w:b/>
          <w:color w:val="000000"/>
          <w:sz w:val="22"/>
          <w:szCs w:val="22"/>
          <w:u w:val="single"/>
          <w:lang w:eastAsia="ar-SA"/>
        </w:rPr>
        <w:t>, con apposizione di marca da bollo di € 16,00.</w:t>
      </w:r>
    </w:p>
    <w:p w14:paraId="5C297965" w14:textId="77777777" w:rsidR="008D3B44" w:rsidRPr="00010AA6" w:rsidRDefault="008D3B44" w:rsidP="00356323">
      <w:pPr>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La percentuale dovrà essere indicata sia in cifre che in lettere. In caso di indicazioni contrastanti si terrà conto di quella più favorevole per l’Autorità concedente.</w:t>
      </w:r>
    </w:p>
    <w:p w14:paraId="3E22F3C7" w14:textId="77777777" w:rsidR="008D3B44" w:rsidRPr="00010AA6" w:rsidRDefault="008D3B44" w:rsidP="00356323">
      <w:pPr>
        <w:spacing w:before="30" w:line="276" w:lineRule="auto"/>
        <w:jc w:val="both"/>
        <w:rPr>
          <w:rFonts w:eastAsia="Times New Roman"/>
          <w:color w:val="000000"/>
          <w:sz w:val="22"/>
          <w:szCs w:val="22"/>
          <w:lang w:eastAsia="ar-SA"/>
        </w:rPr>
      </w:pPr>
    </w:p>
    <w:p w14:paraId="5DEEFC32" w14:textId="77777777" w:rsidR="008D3B44" w:rsidRPr="00010AA6" w:rsidRDefault="008D3B44" w:rsidP="00356323">
      <w:pPr>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La busta in analisi </w:t>
      </w:r>
      <w:r w:rsidRPr="00010AA6">
        <w:rPr>
          <w:rFonts w:eastAsia="Times New Roman"/>
          <w:color w:val="000000"/>
          <w:sz w:val="22"/>
          <w:szCs w:val="22"/>
          <w:u w:val="single"/>
          <w:lang w:eastAsia="ar-SA"/>
        </w:rPr>
        <w:t>dovrà essere sigillata con nastro adesivo o ceralacca, controfirmata sui lembi di chiusura e riportare il nominativo dell'operatore economico e la dicitura</w:t>
      </w:r>
      <w:r w:rsidRPr="00010AA6">
        <w:rPr>
          <w:rFonts w:eastAsia="Times New Roman"/>
          <w:color w:val="000000"/>
          <w:sz w:val="22"/>
          <w:szCs w:val="22"/>
          <w:lang w:eastAsia="ar-SA"/>
        </w:rPr>
        <w:t>:</w:t>
      </w:r>
    </w:p>
    <w:p w14:paraId="344E0160" w14:textId="77777777" w:rsidR="008D3B44" w:rsidRPr="00010AA6" w:rsidRDefault="008D3B44" w:rsidP="00356323">
      <w:pPr>
        <w:spacing w:before="30" w:line="276" w:lineRule="auto"/>
        <w:jc w:val="both"/>
        <w:rPr>
          <w:rFonts w:eastAsia="Times New Roman"/>
          <w:color w:val="000000"/>
          <w:sz w:val="22"/>
          <w:szCs w:val="22"/>
          <w:lang w:eastAsia="ar-SA"/>
        </w:rPr>
      </w:pPr>
    </w:p>
    <w:p w14:paraId="2F979957" w14:textId="477D1E48" w:rsidR="008D3B44" w:rsidRPr="00010AA6" w:rsidRDefault="008D3B44" w:rsidP="00356323">
      <w:pPr>
        <w:spacing w:before="30" w:line="276" w:lineRule="auto"/>
        <w:jc w:val="both"/>
        <w:rPr>
          <w:color w:val="000000"/>
          <w:sz w:val="22"/>
          <w:szCs w:val="22"/>
        </w:rPr>
      </w:pPr>
      <w:r w:rsidRPr="003C513F">
        <w:rPr>
          <w:rFonts w:eastAsia="Times New Roman"/>
          <w:b/>
          <w:i/>
          <w:color w:val="000000"/>
          <w:sz w:val="22"/>
          <w:szCs w:val="22"/>
          <w:lang w:eastAsia="ar-SA"/>
        </w:rPr>
        <w:t xml:space="preserve">“BUSTA </w:t>
      </w:r>
      <w:r w:rsidR="008B13FD" w:rsidRPr="003C513F">
        <w:rPr>
          <w:rFonts w:eastAsia="Times New Roman"/>
          <w:b/>
          <w:i/>
          <w:color w:val="000000"/>
          <w:sz w:val="22"/>
          <w:szCs w:val="22"/>
          <w:lang w:eastAsia="ar-SA"/>
        </w:rPr>
        <w:t>C</w:t>
      </w:r>
      <w:r w:rsidRPr="003C513F">
        <w:rPr>
          <w:rFonts w:eastAsia="Times New Roman"/>
          <w:b/>
          <w:i/>
          <w:color w:val="000000"/>
          <w:sz w:val="22"/>
          <w:szCs w:val="22"/>
          <w:lang w:eastAsia="ar-SA"/>
        </w:rPr>
        <w:t xml:space="preserve"> - OFFERTA ECONOMICA</w:t>
      </w:r>
      <w:r w:rsidRPr="003C513F">
        <w:rPr>
          <w:rFonts w:eastAsia="Times New Roman"/>
          <w:color w:val="000000"/>
          <w:sz w:val="22"/>
          <w:szCs w:val="22"/>
          <w:lang w:eastAsia="ar-SA"/>
        </w:rPr>
        <w:t xml:space="preserve"> - </w:t>
      </w:r>
      <w:r w:rsidR="00C84478" w:rsidRPr="003C513F">
        <w:rPr>
          <w:rFonts w:eastAsia="Times New Roman"/>
          <w:i/>
          <w:color w:val="000000"/>
          <w:sz w:val="22"/>
          <w:szCs w:val="22"/>
          <w:lang w:eastAsia="ar-SA"/>
        </w:rPr>
        <w:t xml:space="preserve">Procedura comparativa finalizzata al rilascio di concessione demaniale marittima avente ad oggetto uno scalo per alaggio e varo di imbarcazioni – AN74 - </w:t>
      </w:r>
      <w:r w:rsidR="00C84478" w:rsidRPr="003C513F">
        <w:rPr>
          <w:i/>
          <w:color w:val="000000"/>
          <w:sz w:val="22"/>
          <w:szCs w:val="22"/>
        </w:rPr>
        <w:t>NON APRIRE</w:t>
      </w:r>
      <w:r w:rsidRPr="003C513F">
        <w:rPr>
          <w:i/>
          <w:color w:val="000000"/>
          <w:sz w:val="22"/>
          <w:szCs w:val="22"/>
        </w:rPr>
        <w:t>”</w:t>
      </w:r>
      <w:r w:rsidRPr="003C513F">
        <w:rPr>
          <w:color w:val="000000"/>
          <w:sz w:val="22"/>
          <w:szCs w:val="22"/>
        </w:rPr>
        <w:t>.</w:t>
      </w:r>
      <w:r w:rsidRPr="00010AA6">
        <w:rPr>
          <w:sz w:val="22"/>
          <w:szCs w:val="22"/>
        </w:rPr>
        <w:t xml:space="preserve"> </w:t>
      </w:r>
    </w:p>
    <w:p w14:paraId="65E273CC" w14:textId="77777777" w:rsidR="008D3B44" w:rsidRPr="00010AA6" w:rsidRDefault="008D3B44" w:rsidP="00356323">
      <w:pPr>
        <w:spacing w:before="30" w:line="276" w:lineRule="auto"/>
        <w:jc w:val="both"/>
        <w:rPr>
          <w:rFonts w:eastAsia="Times New Roman"/>
          <w:i/>
          <w:color w:val="000000"/>
          <w:sz w:val="22"/>
          <w:szCs w:val="22"/>
          <w:lang w:eastAsia="ar-SA"/>
        </w:rPr>
      </w:pPr>
    </w:p>
    <w:p w14:paraId="3B81471B" w14:textId="14E66828" w:rsidR="008D3B44" w:rsidRPr="00010AA6" w:rsidRDefault="008D3B44" w:rsidP="00356323">
      <w:pPr>
        <w:spacing w:before="30" w:line="276" w:lineRule="auto"/>
        <w:jc w:val="both"/>
        <w:rPr>
          <w:rFonts w:eastAsia="Times New Roman"/>
          <w:color w:val="000000"/>
          <w:sz w:val="22"/>
          <w:szCs w:val="22"/>
          <w:u w:val="single"/>
          <w:lang w:eastAsia="ar-SA"/>
        </w:rPr>
      </w:pPr>
      <w:r w:rsidRPr="00010AA6">
        <w:rPr>
          <w:rFonts w:eastAsia="Times New Roman"/>
          <w:color w:val="000000"/>
          <w:sz w:val="22"/>
          <w:szCs w:val="22"/>
          <w:lang w:eastAsia="ar-SA"/>
        </w:rPr>
        <w:t>Le Buste A</w:t>
      </w:r>
      <w:r w:rsidR="008B13FD" w:rsidRPr="00010AA6">
        <w:rPr>
          <w:rFonts w:eastAsia="Times New Roman"/>
          <w:color w:val="000000"/>
          <w:sz w:val="22"/>
          <w:szCs w:val="22"/>
          <w:lang w:eastAsia="ar-SA"/>
        </w:rPr>
        <w:t>,</w:t>
      </w:r>
      <w:r w:rsidRPr="00010AA6">
        <w:rPr>
          <w:rFonts w:eastAsia="Times New Roman"/>
          <w:color w:val="000000"/>
          <w:sz w:val="22"/>
          <w:szCs w:val="22"/>
          <w:lang w:eastAsia="ar-SA"/>
        </w:rPr>
        <w:t xml:space="preserve"> B</w:t>
      </w:r>
      <w:r w:rsidR="008B13FD" w:rsidRPr="00010AA6">
        <w:rPr>
          <w:rFonts w:eastAsia="Times New Roman"/>
          <w:color w:val="000000"/>
          <w:sz w:val="22"/>
          <w:szCs w:val="22"/>
          <w:lang w:eastAsia="ar-SA"/>
        </w:rPr>
        <w:t xml:space="preserve"> e C</w:t>
      </w:r>
      <w:r w:rsidRPr="00010AA6">
        <w:rPr>
          <w:rFonts w:eastAsia="Times New Roman"/>
          <w:color w:val="000000"/>
          <w:sz w:val="22"/>
          <w:szCs w:val="22"/>
          <w:lang w:eastAsia="ar-SA"/>
        </w:rPr>
        <w:t xml:space="preserve"> di cui sopra dovranno essere inserite in un unico plico </w:t>
      </w:r>
      <w:r w:rsidRPr="00010AA6">
        <w:rPr>
          <w:rFonts w:eastAsia="Times New Roman"/>
          <w:color w:val="000000"/>
          <w:sz w:val="22"/>
          <w:szCs w:val="22"/>
          <w:u w:val="single"/>
          <w:lang w:eastAsia="ar-SA"/>
        </w:rPr>
        <w:t>anch’esso sigillato e riportante la indicazione della procedura cui si partecipa, come più sopra specificato.</w:t>
      </w:r>
    </w:p>
    <w:p w14:paraId="6991A329" w14:textId="77777777" w:rsidR="008D3B44" w:rsidRPr="00010AA6" w:rsidRDefault="008D3B44" w:rsidP="00356323">
      <w:pPr>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 </w:t>
      </w:r>
    </w:p>
    <w:p w14:paraId="132D3942" w14:textId="77777777" w:rsidR="008D3B44" w:rsidRPr="00010AA6" w:rsidRDefault="008D3B44" w:rsidP="00356323">
      <w:pPr>
        <w:widowControl w:val="0"/>
        <w:suppressAutoHyphens/>
        <w:autoSpaceDE w:val="0"/>
        <w:autoSpaceDN w:val="0"/>
        <w:adjustRightInd w:val="0"/>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Non saranno ammesse offerte condizionate o espresse in modo indeterminato; né saranno ammesse correzioni non espressamente confermate già nel medesimo atto in lettere e sottoscritte per esteso dal legale rappresentante della società (in caso di discordanza tra l'indicazione espressa in cifre e quella espressa in lettere sarà ritenuta valida quella più favorevole alla Autorità concedente).</w:t>
      </w:r>
    </w:p>
    <w:p w14:paraId="48FA58E4" w14:textId="77777777" w:rsidR="008D3B44" w:rsidRPr="00010AA6" w:rsidRDefault="008D3B44" w:rsidP="00356323">
      <w:pPr>
        <w:widowControl w:val="0"/>
        <w:suppressAutoHyphens/>
        <w:autoSpaceDE w:val="0"/>
        <w:autoSpaceDN w:val="0"/>
        <w:adjustRightInd w:val="0"/>
        <w:spacing w:before="30" w:line="276" w:lineRule="auto"/>
        <w:jc w:val="both"/>
        <w:rPr>
          <w:rFonts w:eastAsia="Times New Roman"/>
          <w:b/>
          <w:color w:val="000000"/>
          <w:sz w:val="22"/>
          <w:szCs w:val="22"/>
          <w:highlight w:val="lightGray"/>
          <w:lang w:eastAsia="it-IT"/>
        </w:rPr>
      </w:pPr>
    </w:p>
    <w:p w14:paraId="2912F91B" w14:textId="659126B4" w:rsidR="001867CC" w:rsidRPr="00010AA6" w:rsidRDefault="001867CC" w:rsidP="00356323">
      <w:pPr>
        <w:spacing w:line="276" w:lineRule="auto"/>
        <w:jc w:val="center"/>
        <w:rPr>
          <w:b/>
          <w:bCs/>
          <w:color w:val="000000" w:themeColor="text1"/>
          <w:sz w:val="22"/>
          <w:szCs w:val="22"/>
        </w:rPr>
      </w:pPr>
      <w:r w:rsidRPr="00010AA6">
        <w:rPr>
          <w:b/>
          <w:bCs/>
          <w:color w:val="000000" w:themeColor="text1"/>
          <w:sz w:val="22"/>
          <w:szCs w:val="22"/>
        </w:rPr>
        <w:t>SOCCORSO DOCUMENTALE</w:t>
      </w:r>
    </w:p>
    <w:p w14:paraId="57EB394E" w14:textId="77777777" w:rsidR="001867CC" w:rsidRPr="00010AA6" w:rsidRDefault="001867CC"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rFonts w:eastAsia="Times New Roman"/>
          <w:color w:val="000000"/>
          <w:sz w:val="22"/>
          <w:szCs w:val="22"/>
          <w:lang w:eastAsia="ar-SA"/>
        </w:rPr>
        <w:t>Con</w:t>
      </w:r>
      <w:r w:rsidRPr="00010AA6">
        <w:rPr>
          <w:bCs/>
          <w:color w:val="000000" w:themeColor="text1"/>
          <w:sz w:val="22"/>
          <w:szCs w:val="22"/>
        </w:rPr>
        <w:t xml:space="preserve"> la procedura di soccorso documentale, possono essere sanate le carenze della documentazione trasmessa con la domanda di partecipazione e con dichiarazione di cui all’allegato1 e di ogni altro documento richiesto per la partecipazione alla procedura di gara</w:t>
      </w:r>
      <w:r w:rsidRPr="00010AA6">
        <w:rPr>
          <w:bCs/>
          <w:color w:val="000000" w:themeColor="text1"/>
          <w:sz w:val="22"/>
          <w:szCs w:val="22"/>
          <w:u w:val="single"/>
        </w:rPr>
        <w:t xml:space="preserve"> ma non quelle della documentazione che compone l’offerta tecnica e l’offerta economica</w:t>
      </w:r>
      <w:r w:rsidRPr="00010AA6">
        <w:rPr>
          <w:bCs/>
          <w:color w:val="000000" w:themeColor="text1"/>
          <w:sz w:val="22"/>
          <w:szCs w:val="22"/>
        </w:rPr>
        <w:t xml:space="preserve">. </w:t>
      </w:r>
    </w:p>
    <w:p w14:paraId="26AB2664" w14:textId="77777777" w:rsidR="001867CC" w:rsidRPr="00010AA6" w:rsidRDefault="001867CC"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bCs/>
          <w:color w:val="000000" w:themeColor="text1"/>
          <w:sz w:val="22"/>
          <w:szCs w:val="22"/>
        </w:rPr>
        <w:t xml:space="preserve">Non sono sanabili le omissioni, le inesattezze e irregolarità che rendono assolutamente incerta l’identità del concorrente. A titolo esemplificativo, si chiarisce che: </w:t>
      </w:r>
    </w:p>
    <w:p w14:paraId="1890106B" w14:textId="77777777" w:rsidR="001867CC" w:rsidRPr="00010AA6" w:rsidRDefault="001867CC" w:rsidP="00356323">
      <w:pPr>
        <w:pStyle w:val="Paragrafoelenco"/>
        <w:widowControl w:val="0"/>
        <w:numPr>
          <w:ilvl w:val="0"/>
          <w:numId w:val="18"/>
        </w:numPr>
        <w:suppressAutoHyphens/>
        <w:autoSpaceDE w:val="0"/>
        <w:autoSpaceDN w:val="0"/>
        <w:adjustRightInd w:val="0"/>
        <w:spacing w:before="30" w:line="276" w:lineRule="auto"/>
        <w:rPr>
          <w:bCs/>
          <w:color w:val="000000" w:themeColor="text1"/>
          <w:sz w:val="22"/>
          <w:szCs w:val="22"/>
        </w:rPr>
      </w:pPr>
      <w:r w:rsidRPr="00010AA6">
        <w:rPr>
          <w:bCs/>
          <w:color w:val="000000" w:themeColor="text1"/>
          <w:sz w:val="22"/>
          <w:szCs w:val="22"/>
        </w:rPr>
        <w:t xml:space="preserve">il mancato possesso dei prescritti requisiti di partecipazione non è sanabile mediante soccorso documentale ed è causa di esclusione dalla procedura di gara; </w:t>
      </w:r>
    </w:p>
    <w:p w14:paraId="69D4056B" w14:textId="77777777" w:rsidR="001867CC" w:rsidRPr="00010AA6" w:rsidRDefault="001867CC" w:rsidP="00356323">
      <w:pPr>
        <w:pStyle w:val="Paragrafoelenco"/>
        <w:widowControl w:val="0"/>
        <w:numPr>
          <w:ilvl w:val="0"/>
          <w:numId w:val="18"/>
        </w:numPr>
        <w:suppressAutoHyphens/>
        <w:autoSpaceDE w:val="0"/>
        <w:autoSpaceDN w:val="0"/>
        <w:adjustRightInd w:val="0"/>
        <w:spacing w:before="30" w:line="276" w:lineRule="auto"/>
        <w:rPr>
          <w:bCs/>
          <w:color w:val="000000" w:themeColor="text1"/>
          <w:sz w:val="22"/>
          <w:szCs w:val="22"/>
        </w:rPr>
      </w:pPr>
      <w:r w:rsidRPr="00010AA6">
        <w:rPr>
          <w:bCs/>
          <w:color w:val="000000" w:themeColor="text1"/>
          <w:sz w:val="22"/>
          <w:szCs w:val="22"/>
        </w:rPr>
        <w:t xml:space="preserve">l’omessa o incompleta nonché irregolare presentazione delle dichiarazioni sul possesso dei requisiti di partecipazione e ogni altra mancanza, incompletezza o irregolarità della domanda, sono sanabili, ad eccezione delle false dichiarazioni; </w:t>
      </w:r>
    </w:p>
    <w:p w14:paraId="047B2096" w14:textId="77777777" w:rsidR="001867CC" w:rsidRPr="00010AA6" w:rsidRDefault="001867CC" w:rsidP="00356323">
      <w:pPr>
        <w:pStyle w:val="Paragrafoelenco"/>
        <w:widowControl w:val="0"/>
        <w:numPr>
          <w:ilvl w:val="0"/>
          <w:numId w:val="18"/>
        </w:numPr>
        <w:suppressAutoHyphens/>
        <w:autoSpaceDE w:val="0"/>
        <w:autoSpaceDN w:val="0"/>
        <w:adjustRightInd w:val="0"/>
        <w:spacing w:before="30" w:line="276" w:lineRule="auto"/>
        <w:rPr>
          <w:bCs/>
          <w:color w:val="000000" w:themeColor="text1"/>
          <w:sz w:val="22"/>
          <w:szCs w:val="22"/>
        </w:rPr>
      </w:pPr>
      <w:r w:rsidRPr="00010AA6">
        <w:rPr>
          <w:bCs/>
          <w:color w:val="000000" w:themeColor="text1"/>
          <w:sz w:val="22"/>
          <w:szCs w:val="22"/>
        </w:rPr>
        <w:t xml:space="preserve">la mancata produzione del mandato collettivo speciale o dell’impegno a conferire mandato collettivo può essere oggetto di soccorso istruttorio solo se i citati documenti sono preesistenti e comprovabili con data certa anteriore al termine di presentazione dell’offerta; </w:t>
      </w:r>
    </w:p>
    <w:p w14:paraId="01E27B53" w14:textId="2B15F595" w:rsidR="001867CC" w:rsidRPr="00010AA6" w:rsidRDefault="001867CC" w:rsidP="00356323">
      <w:pPr>
        <w:pStyle w:val="Paragrafoelenco"/>
        <w:widowControl w:val="0"/>
        <w:numPr>
          <w:ilvl w:val="0"/>
          <w:numId w:val="18"/>
        </w:numPr>
        <w:suppressAutoHyphens/>
        <w:autoSpaceDE w:val="0"/>
        <w:autoSpaceDN w:val="0"/>
        <w:adjustRightInd w:val="0"/>
        <w:spacing w:before="30" w:line="276" w:lineRule="auto"/>
        <w:rPr>
          <w:bCs/>
          <w:color w:val="000000" w:themeColor="text1"/>
          <w:sz w:val="22"/>
          <w:szCs w:val="22"/>
        </w:rPr>
      </w:pPr>
      <w:r w:rsidRPr="00010AA6">
        <w:rPr>
          <w:bCs/>
          <w:color w:val="000000" w:themeColor="text1"/>
          <w:sz w:val="22"/>
          <w:szCs w:val="22"/>
        </w:rPr>
        <w:t>il difetto di sottoscrizione della domanda di partecipazione, delle dichiarazioni richieste e dell’offerta è sanabile.</w:t>
      </w:r>
    </w:p>
    <w:p w14:paraId="68A1BDB9" w14:textId="77777777" w:rsidR="001867CC" w:rsidRPr="00010AA6" w:rsidRDefault="001867CC"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bCs/>
          <w:color w:val="000000" w:themeColor="text1"/>
          <w:sz w:val="22"/>
          <w:szCs w:val="22"/>
        </w:rPr>
        <w:t xml:space="preserve">Ai fini del soccorso documentale l’Ente assegna al concorrente un termine di 5 giorni affinché siano rese, integrate o regolarizzate le dichiarazioni necessarie, indicando il contenuto e i soggetti che le </w:t>
      </w:r>
      <w:r w:rsidRPr="00010AA6">
        <w:rPr>
          <w:bCs/>
          <w:color w:val="000000" w:themeColor="text1"/>
          <w:sz w:val="22"/>
          <w:szCs w:val="22"/>
        </w:rPr>
        <w:lastRenderedPageBreak/>
        <w:t>devono rendere.</w:t>
      </w:r>
    </w:p>
    <w:p w14:paraId="1FF8403F" w14:textId="029DCA9A" w:rsidR="001867CC" w:rsidRPr="00010AA6" w:rsidRDefault="001867CC"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bCs/>
          <w:color w:val="000000" w:themeColor="text1"/>
          <w:sz w:val="22"/>
          <w:szCs w:val="22"/>
        </w:rPr>
        <w:t>In caso di inutile decorso del termine, l’Ente procede all’esclusione del concorrente dalla procedura. Ove il concorrente produca dichiarazioni o documenti non perfettamente coerenti con la richiesta, l’Ente può chiedere ulteriori precisazioni o chiarimenti, limitate alla documentazione presentata in fase di soccorso istruttorio, fissando un termine a pena di esclusione.</w:t>
      </w:r>
    </w:p>
    <w:p w14:paraId="11C579CC" w14:textId="7A721A95" w:rsidR="001867CC" w:rsidRPr="00010AA6" w:rsidRDefault="001867CC"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bCs/>
          <w:color w:val="000000" w:themeColor="text1"/>
          <w:sz w:val="22"/>
          <w:szCs w:val="22"/>
        </w:rPr>
        <w:t xml:space="preserve">L’Ente può sempre chiedere chiarimenti sui contenuti dell’offerta tecnica e dell’offerta economica e su ogni loro allegato. </w:t>
      </w:r>
    </w:p>
    <w:p w14:paraId="5FDE3078" w14:textId="0672BF85" w:rsidR="001867CC" w:rsidRPr="00010AA6" w:rsidRDefault="001867CC"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bCs/>
          <w:color w:val="000000" w:themeColor="text1"/>
          <w:sz w:val="22"/>
          <w:szCs w:val="22"/>
        </w:rPr>
        <w:t>Il concorrente è tenuto a fornire risposta nel termine di 5 giorni. I chiarimenti resi dal concorrente non possono modificare il contenuto dell’offerta tecnica e dell’offerta economica.</w:t>
      </w:r>
    </w:p>
    <w:p w14:paraId="2C5A6233" w14:textId="69F64F9F" w:rsidR="001867CC" w:rsidRPr="00010AA6" w:rsidRDefault="001867CC" w:rsidP="00356323">
      <w:pPr>
        <w:widowControl w:val="0"/>
        <w:suppressAutoHyphens/>
        <w:autoSpaceDE w:val="0"/>
        <w:autoSpaceDN w:val="0"/>
        <w:adjustRightInd w:val="0"/>
        <w:spacing w:before="30" w:line="276" w:lineRule="auto"/>
        <w:jc w:val="both"/>
        <w:rPr>
          <w:bCs/>
          <w:color w:val="000000" w:themeColor="text1"/>
          <w:sz w:val="22"/>
          <w:szCs w:val="22"/>
        </w:rPr>
      </w:pPr>
      <w:r w:rsidRPr="00010AA6">
        <w:rPr>
          <w:bCs/>
          <w:color w:val="000000" w:themeColor="text1"/>
          <w:sz w:val="22"/>
          <w:szCs w:val="22"/>
        </w:rPr>
        <w:t>Si precisa che le documentazioni non in regola con la legge sul bollo, saranno accettate e ritenute valide agli effetti giuridici, ma verranno assoggettate, con spese a carico dell’Impresa concorrente, alla regolarizzazione fiscale presso l’Agenzia delle Entrate.</w:t>
      </w:r>
    </w:p>
    <w:p w14:paraId="247E0EC2" w14:textId="77777777" w:rsidR="001867CC" w:rsidRPr="00010AA6" w:rsidRDefault="001867CC" w:rsidP="00356323">
      <w:pPr>
        <w:keepNext/>
        <w:suppressAutoHyphens/>
        <w:spacing w:before="30" w:line="276" w:lineRule="auto"/>
        <w:jc w:val="center"/>
        <w:outlineLvl w:val="0"/>
        <w:rPr>
          <w:rFonts w:eastAsia="Times New Roman"/>
          <w:b/>
          <w:bCs/>
          <w:color w:val="000000"/>
          <w:sz w:val="22"/>
          <w:szCs w:val="22"/>
          <w:lang w:eastAsia="ar-SA"/>
        </w:rPr>
      </w:pPr>
    </w:p>
    <w:p w14:paraId="2821AD7E" w14:textId="77777777" w:rsidR="001867CC" w:rsidRPr="00010AA6" w:rsidRDefault="001867CC" w:rsidP="00356323">
      <w:pPr>
        <w:spacing w:line="276" w:lineRule="auto"/>
        <w:jc w:val="center"/>
        <w:rPr>
          <w:b/>
          <w:bCs/>
          <w:color w:val="000000" w:themeColor="text1"/>
          <w:sz w:val="22"/>
          <w:szCs w:val="22"/>
        </w:rPr>
      </w:pPr>
      <w:r w:rsidRPr="00010AA6">
        <w:rPr>
          <w:b/>
          <w:bCs/>
          <w:color w:val="000000" w:themeColor="text1"/>
          <w:sz w:val="22"/>
          <w:szCs w:val="22"/>
        </w:rPr>
        <w:t>PARAMETRI DI VALUTAZIONE E RELATIVI PUNTEGGI</w:t>
      </w:r>
    </w:p>
    <w:p w14:paraId="2F099404" w14:textId="77777777" w:rsidR="001867CC" w:rsidRPr="00010AA6" w:rsidRDefault="001867CC" w:rsidP="00356323">
      <w:pPr>
        <w:spacing w:line="276" w:lineRule="auto"/>
        <w:jc w:val="both"/>
        <w:rPr>
          <w:color w:val="000000" w:themeColor="text1"/>
          <w:sz w:val="22"/>
          <w:szCs w:val="22"/>
        </w:rPr>
      </w:pPr>
      <w:r w:rsidRPr="00010AA6">
        <w:rPr>
          <w:color w:val="000000" w:themeColor="text1"/>
          <w:sz w:val="22"/>
          <w:szCs w:val="22"/>
        </w:rPr>
        <w:t>La valutazione dell’offerta tecnica e dell’offerta economica sarà effettuata in base ai seguenti punteggi:</w:t>
      </w:r>
    </w:p>
    <w:tbl>
      <w:tblPr>
        <w:tblStyle w:val="Grigliatabella"/>
        <w:tblW w:w="0" w:type="auto"/>
        <w:tblLook w:val="04A0" w:firstRow="1" w:lastRow="0" w:firstColumn="1" w:lastColumn="0" w:noHBand="0" w:noVBand="1"/>
      </w:tblPr>
      <w:tblGrid>
        <w:gridCol w:w="4746"/>
        <w:gridCol w:w="4741"/>
      </w:tblGrid>
      <w:tr w:rsidR="001867CC" w:rsidRPr="00010AA6" w14:paraId="7C7C490B" w14:textId="77777777" w:rsidTr="006E1568">
        <w:tc>
          <w:tcPr>
            <w:tcW w:w="4814" w:type="dxa"/>
          </w:tcPr>
          <w:p w14:paraId="1D801DBE"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ELEMENTI DI VALUTAZIONE</w:t>
            </w:r>
          </w:p>
        </w:tc>
        <w:tc>
          <w:tcPr>
            <w:tcW w:w="4815" w:type="dxa"/>
          </w:tcPr>
          <w:p w14:paraId="5701D604"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PUNTEGGIO MASSIMO</w:t>
            </w:r>
          </w:p>
        </w:tc>
      </w:tr>
      <w:tr w:rsidR="001867CC" w:rsidRPr="00010AA6" w14:paraId="056FFA37" w14:textId="77777777" w:rsidTr="006E1568">
        <w:tc>
          <w:tcPr>
            <w:tcW w:w="4814" w:type="dxa"/>
          </w:tcPr>
          <w:p w14:paraId="470B12EC"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OFFERTA TECNICA</w:t>
            </w:r>
          </w:p>
        </w:tc>
        <w:tc>
          <w:tcPr>
            <w:tcW w:w="4815" w:type="dxa"/>
          </w:tcPr>
          <w:p w14:paraId="0EE1BF2E"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70</w:t>
            </w:r>
          </w:p>
        </w:tc>
      </w:tr>
      <w:tr w:rsidR="001867CC" w:rsidRPr="00010AA6" w14:paraId="0B4A90E8" w14:textId="77777777" w:rsidTr="006E1568">
        <w:tc>
          <w:tcPr>
            <w:tcW w:w="4814" w:type="dxa"/>
          </w:tcPr>
          <w:p w14:paraId="33DED3CB"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OFFERTA ECONOMICA</w:t>
            </w:r>
          </w:p>
        </w:tc>
        <w:tc>
          <w:tcPr>
            <w:tcW w:w="4815" w:type="dxa"/>
          </w:tcPr>
          <w:p w14:paraId="066FD4FD"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30</w:t>
            </w:r>
          </w:p>
        </w:tc>
      </w:tr>
      <w:tr w:rsidR="001867CC" w:rsidRPr="00010AA6" w14:paraId="2FBBCDED" w14:textId="77777777" w:rsidTr="006E1568">
        <w:tc>
          <w:tcPr>
            <w:tcW w:w="4814" w:type="dxa"/>
          </w:tcPr>
          <w:p w14:paraId="46A5C117"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TOTALE</w:t>
            </w:r>
          </w:p>
        </w:tc>
        <w:tc>
          <w:tcPr>
            <w:tcW w:w="4815" w:type="dxa"/>
          </w:tcPr>
          <w:p w14:paraId="5FED5AA8"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100</w:t>
            </w:r>
          </w:p>
        </w:tc>
      </w:tr>
    </w:tbl>
    <w:p w14:paraId="1537BABB" w14:textId="77777777" w:rsidR="001867CC" w:rsidRPr="00010AA6" w:rsidRDefault="001867CC" w:rsidP="00356323">
      <w:pPr>
        <w:keepNext/>
        <w:suppressAutoHyphens/>
        <w:spacing w:before="30" w:line="276" w:lineRule="auto"/>
        <w:outlineLvl w:val="0"/>
        <w:rPr>
          <w:rFonts w:eastAsia="Times New Roman"/>
          <w:b/>
          <w:bCs/>
          <w:color w:val="000000"/>
          <w:sz w:val="22"/>
          <w:szCs w:val="22"/>
          <w:lang w:eastAsia="ar-SA"/>
        </w:rPr>
      </w:pPr>
    </w:p>
    <w:p w14:paraId="31738D1C" w14:textId="77777777" w:rsidR="001867CC" w:rsidRPr="00010AA6" w:rsidRDefault="001867CC" w:rsidP="00356323">
      <w:pPr>
        <w:spacing w:line="276" w:lineRule="auto"/>
        <w:jc w:val="both"/>
        <w:rPr>
          <w:b/>
          <w:bCs/>
          <w:color w:val="000000" w:themeColor="text1"/>
          <w:sz w:val="22"/>
          <w:szCs w:val="22"/>
        </w:rPr>
      </w:pPr>
      <w:r w:rsidRPr="00010AA6">
        <w:rPr>
          <w:b/>
          <w:bCs/>
          <w:color w:val="000000" w:themeColor="text1"/>
          <w:sz w:val="22"/>
          <w:szCs w:val="22"/>
        </w:rPr>
        <w:t>Offerta tecnica:</w:t>
      </w:r>
    </w:p>
    <w:p w14:paraId="38F949CF" w14:textId="77777777" w:rsidR="001867CC" w:rsidRPr="00010AA6" w:rsidRDefault="001867CC" w:rsidP="00356323">
      <w:pPr>
        <w:spacing w:line="276" w:lineRule="auto"/>
        <w:jc w:val="both"/>
        <w:rPr>
          <w:color w:val="000000" w:themeColor="text1"/>
          <w:sz w:val="22"/>
          <w:szCs w:val="22"/>
        </w:rPr>
      </w:pPr>
      <w:r w:rsidRPr="00010AA6">
        <w:rPr>
          <w:color w:val="000000" w:themeColor="text1"/>
          <w:sz w:val="22"/>
          <w:szCs w:val="22"/>
        </w:rPr>
        <w:t>La valutazione dell’offerta tecnica sarà effettuata in base ai seguenti criteri e punteggi:</w:t>
      </w:r>
    </w:p>
    <w:tbl>
      <w:tblPr>
        <w:tblStyle w:val="Grigliatabella"/>
        <w:tblW w:w="0" w:type="auto"/>
        <w:tblLook w:val="04A0" w:firstRow="1" w:lastRow="0" w:firstColumn="1" w:lastColumn="0" w:noHBand="0" w:noVBand="1"/>
      </w:tblPr>
      <w:tblGrid>
        <w:gridCol w:w="974"/>
        <w:gridCol w:w="5343"/>
        <w:gridCol w:w="3170"/>
      </w:tblGrid>
      <w:tr w:rsidR="001867CC" w:rsidRPr="00010AA6" w14:paraId="00AFB2C4" w14:textId="77777777" w:rsidTr="00356323">
        <w:tc>
          <w:tcPr>
            <w:tcW w:w="974" w:type="dxa"/>
            <w:vAlign w:val="center"/>
          </w:tcPr>
          <w:p w14:paraId="4E914D7C" w14:textId="292C4090" w:rsidR="001867CC" w:rsidRPr="00010AA6" w:rsidRDefault="00803830" w:rsidP="00356323">
            <w:pPr>
              <w:spacing w:line="276" w:lineRule="auto"/>
              <w:jc w:val="both"/>
              <w:rPr>
                <w:color w:val="000000" w:themeColor="text1"/>
                <w:sz w:val="22"/>
                <w:szCs w:val="22"/>
              </w:rPr>
            </w:pPr>
            <w:r>
              <w:rPr>
                <w:color w:val="000000" w:themeColor="text1"/>
                <w:sz w:val="22"/>
                <w:szCs w:val="22"/>
              </w:rPr>
              <w:t>66</w:t>
            </w:r>
          </w:p>
        </w:tc>
        <w:tc>
          <w:tcPr>
            <w:tcW w:w="5343" w:type="dxa"/>
            <w:vAlign w:val="center"/>
          </w:tcPr>
          <w:p w14:paraId="37566C3C" w14:textId="77777777" w:rsidR="001867CC" w:rsidRPr="00010AA6" w:rsidRDefault="001867CC" w:rsidP="00356323">
            <w:pPr>
              <w:spacing w:line="276" w:lineRule="auto"/>
              <w:jc w:val="both"/>
              <w:rPr>
                <w:color w:val="000000" w:themeColor="text1"/>
                <w:sz w:val="22"/>
                <w:szCs w:val="22"/>
              </w:rPr>
            </w:pPr>
            <w:r w:rsidRPr="00010AA6">
              <w:rPr>
                <w:color w:val="000000" w:themeColor="text1"/>
                <w:sz w:val="22"/>
                <w:szCs w:val="22"/>
              </w:rPr>
              <w:t>CRITERIO</w:t>
            </w:r>
          </w:p>
        </w:tc>
        <w:tc>
          <w:tcPr>
            <w:tcW w:w="3170" w:type="dxa"/>
            <w:vAlign w:val="center"/>
          </w:tcPr>
          <w:p w14:paraId="0982F9A4" w14:textId="77777777" w:rsidR="001867CC" w:rsidRPr="00010AA6" w:rsidRDefault="001867CC" w:rsidP="00356323">
            <w:pPr>
              <w:spacing w:line="276" w:lineRule="auto"/>
              <w:jc w:val="both"/>
              <w:rPr>
                <w:color w:val="000000" w:themeColor="text1"/>
                <w:sz w:val="22"/>
                <w:szCs w:val="22"/>
              </w:rPr>
            </w:pPr>
            <w:r w:rsidRPr="00010AA6">
              <w:rPr>
                <w:color w:val="000000" w:themeColor="text1"/>
                <w:sz w:val="22"/>
                <w:szCs w:val="22"/>
              </w:rPr>
              <w:t>PUNTEGGIO</w:t>
            </w:r>
          </w:p>
        </w:tc>
      </w:tr>
      <w:tr w:rsidR="001867CC" w:rsidRPr="00010AA6" w14:paraId="0AE19206" w14:textId="77777777" w:rsidTr="00356323">
        <w:tc>
          <w:tcPr>
            <w:tcW w:w="974" w:type="dxa"/>
            <w:vAlign w:val="center"/>
          </w:tcPr>
          <w:p w14:paraId="3FC8C481" w14:textId="76BDC47B" w:rsidR="001867CC" w:rsidRPr="00010AA6" w:rsidRDefault="000969AF" w:rsidP="00356323">
            <w:pPr>
              <w:spacing w:line="276" w:lineRule="auto"/>
              <w:jc w:val="both"/>
              <w:rPr>
                <w:color w:val="000000" w:themeColor="text1"/>
                <w:sz w:val="22"/>
                <w:szCs w:val="22"/>
              </w:rPr>
            </w:pPr>
            <w:r w:rsidRPr="00010AA6">
              <w:rPr>
                <w:color w:val="000000" w:themeColor="text1"/>
                <w:sz w:val="22"/>
                <w:szCs w:val="22"/>
              </w:rPr>
              <w:t>A</w:t>
            </w:r>
          </w:p>
        </w:tc>
        <w:tc>
          <w:tcPr>
            <w:tcW w:w="5343" w:type="dxa"/>
            <w:vAlign w:val="center"/>
          </w:tcPr>
          <w:p w14:paraId="14274CE7" w14:textId="04E2450C" w:rsidR="00F97A21" w:rsidRPr="003C513F" w:rsidRDefault="003C513F" w:rsidP="003C513F">
            <w:pPr>
              <w:widowControl w:val="0"/>
              <w:suppressAutoHyphens/>
              <w:autoSpaceDE w:val="0"/>
              <w:autoSpaceDN w:val="0"/>
              <w:adjustRightInd w:val="0"/>
              <w:spacing w:before="30" w:line="276" w:lineRule="auto"/>
              <w:rPr>
                <w:rFonts w:eastAsia="Times New Roman"/>
                <w:kern w:val="3"/>
                <w:sz w:val="22"/>
                <w:szCs w:val="22"/>
                <w:lang w:eastAsia="it-IT"/>
              </w:rPr>
            </w:pPr>
            <w:r>
              <w:rPr>
                <w:rFonts w:eastAsia="Times New Roman"/>
                <w:kern w:val="3"/>
                <w:sz w:val="22"/>
                <w:szCs w:val="22"/>
                <w:lang w:eastAsia="it-IT"/>
              </w:rPr>
              <w:t xml:space="preserve">Qualità della proposta </w:t>
            </w:r>
            <w:r w:rsidRPr="003C513F">
              <w:rPr>
                <w:rFonts w:eastAsia="Times New Roman"/>
                <w:kern w:val="3"/>
                <w:sz w:val="22"/>
                <w:szCs w:val="22"/>
                <w:lang w:eastAsia="it-IT"/>
              </w:rPr>
              <w:t>tecnica relativa alle modalità organizzative nonché ai mezzi e alle attrezzature  che saranno utilizzate per svolgere le attività di varo e alaggio in sicurezza ed efficienza, comprensiva di eventuali proposte migliorative relative all’accessibilità e utilizzabilità dello scivolo</w:t>
            </w:r>
          </w:p>
        </w:tc>
        <w:tc>
          <w:tcPr>
            <w:tcW w:w="3170" w:type="dxa"/>
            <w:vAlign w:val="center"/>
          </w:tcPr>
          <w:p w14:paraId="3650226C" w14:textId="59541367" w:rsidR="001867CC" w:rsidRPr="00F97A21" w:rsidRDefault="00593BB3" w:rsidP="00356323">
            <w:pPr>
              <w:spacing w:line="276" w:lineRule="auto"/>
              <w:jc w:val="both"/>
              <w:rPr>
                <w:b/>
                <w:bCs/>
                <w:color w:val="000000" w:themeColor="text1"/>
                <w:sz w:val="22"/>
                <w:szCs w:val="22"/>
              </w:rPr>
            </w:pPr>
            <w:r>
              <w:rPr>
                <w:b/>
                <w:bCs/>
                <w:color w:val="000000" w:themeColor="text1"/>
                <w:sz w:val="22"/>
                <w:szCs w:val="22"/>
              </w:rPr>
              <w:t>40</w:t>
            </w:r>
          </w:p>
          <w:p w14:paraId="55A0E415" w14:textId="77777777" w:rsidR="00F97A21" w:rsidRDefault="00F97A21" w:rsidP="00356323">
            <w:pPr>
              <w:spacing w:line="276" w:lineRule="auto"/>
              <w:jc w:val="both"/>
              <w:rPr>
                <w:color w:val="000000" w:themeColor="text1"/>
                <w:sz w:val="22"/>
                <w:szCs w:val="22"/>
              </w:rPr>
            </w:pPr>
          </w:p>
          <w:p w14:paraId="6FD9CF7A" w14:textId="77777777" w:rsidR="00F97A21" w:rsidRDefault="00F97A21" w:rsidP="00356323">
            <w:pPr>
              <w:spacing w:line="276" w:lineRule="auto"/>
              <w:jc w:val="both"/>
              <w:rPr>
                <w:color w:val="000000" w:themeColor="text1"/>
                <w:sz w:val="22"/>
                <w:szCs w:val="22"/>
              </w:rPr>
            </w:pPr>
          </w:p>
          <w:p w14:paraId="42BDEAB2" w14:textId="744E3B01" w:rsidR="00F97A21" w:rsidRPr="00010AA6" w:rsidRDefault="00F97A21" w:rsidP="00356323">
            <w:pPr>
              <w:spacing w:line="276" w:lineRule="auto"/>
              <w:jc w:val="both"/>
              <w:rPr>
                <w:color w:val="000000" w:themeColor="text1"/>
                <w:sz w:val="22"/>
                <w:szCs w:val="22"/>
              </w:rPr>
            </w:pPr>
          </w:p>
        </w:tc>
      </w:tr>
      <w:tr w:rsidR="003C513F" w:rsidRPr="00010AA6" w14:paraId="159176CE" w14:textId="77777777" w:rsidTr="00356323">
        <w:tc>
          <w:tcPr>
            <w:tcW w:w="974" w:type="dxa"/>
            <w:vAlign w:val="center"/>
          </w:tcPr>
          <w:p w14:paraId="2302BDE0" w14:textId="6E3A6E40" w:rsidR="003C513F" w:rsidRPr="00010AA6" w:rsidRDefault="003C513F" w:rsidP="00356323">
            <w:pPr>
              <w:spacing w:line="276" w:lineRule="auto"/>
              <w:jc w:val="both"/>
              <w:rPr>
                <w:color w:val="000000" w:themeColor="text1"/>
                <w:sz w:val="22"/>
                <w:szCs w:val="22"/>
              </w:rPr>
            </w:pPr>
            <w:r>
              <w:rPr>
                <w:color w:val="000000" w:themeColor="text1"/>
                <w:sz w:val="22"/>
                <w:szCs w:val="22"/>
              </w:rPr>
              <w:t>B</w:t>
            </w:r>
          </w:p>
        </w:tc>
        <w:tc>
          <w:tcPr>
            <w:tcW w:w="5343" w:type="dxa"/>
            <w:vAlign w:val="center"/>
          </w:tcPr>
          <w:p w14:paraId="3544E2C5" w14:textId="77777777" w:rsidR="003C513F" w:rsidRDefault="003C513F" w:rsidP="003C513F">
            <w:pPr>
              <w:widowControl w:val="0"/>
              <w:suppressAutoHyphens/>
              <w:autoSpaceDE w:val="0"/>
              <w:autoSpaceDN w:val="0"/>
              <w:adjustRightInd w:val="0"/>
              <w:spacing w:before="30" w:line="276" w:lineRule="auto"/>
              <w:jc w:val="both"/>
              <w:rPr>
                <w:rFonts w:eastAsia="Times New Roman"/>
                <w:kern w:val="3"/>
                <w:sz w:val="22"/>
                <w:szCs w:val="22"/>
                <w:lang w:eastAsia="it-IT"/>
              </w:rPr>
            </w:pPr>
            <w:r w:rsidRPr="00010AA6">
              <w:rPr>
                <w:rFonts w:eastAsia="Times New Roman"/>
                <w:kern w:val="3"/>
                <w:sz w:val="22"/>
                <w:szCs w:val="22"/>
                <w:lang w:eastAsia="it-IT"/>
              </w:rPr>
              <w:t>Tariffe di alaggio e varo delle imbarcazioni con indicazione dei mezzi che verranno utilizzati</w:t>
            </w:r>
            <w:r>
              <w:rPr>
                <w:rFonts w:eastAsia="Times New Roman"/>
                <w:kern w:val="3"/>
                <w:sz w:val="22"/>
                <w:szCs w:val="22"/>
                <w:lang w:eastAsia="it-IT"/>
              </w:rPr>
              <w:t xml:space="preserve"> suddiviso in:</w:t>
            </w:r>
          </w:p>
          <w:p w14:paraId="2EBC6C72" w14:textId="77777777" w:rsidR="003C513F" w:rsidRDefault="003C513F" w:rsidP="003C513F">
            <w:pPr>
              <w:pStyle w:val="Paragrafoelenco"/>
              <w:widowControl w:val="0"/>
              <w:numPr>
                <w:ilvl w:val="0"/>
                <w:numId w:val="18"/>
              </w:numPr>
              <w:suppressAutoHyphens/>
              <w:autoSpaceDE w:val="0"/>
              <w:autoSpaceDN w:val="0"/>
              <w:adjustRightInd w:val="0"/>
              <w:spacing w:before="30" w:line="276" w:lineRule="auto"/>
              <w:rPr>
                <w:rFonts w:eastAsia="Times New Roman"/>
                <w:kern w:val="3"/>
                <w:sz w:val="22"/>
                <w:szCs w:val="22"/>
                <w:lang w:eastAsia="it-IT"/>
              </w:rPr>
            </w:pPr>
            <w:r>
              <w:rPr>
                <w:rFonts w:eastAsia="Times New Roman"/>
                <w:kern w:val="3"/>
                <w:sz w:val="22"/>
                <w:szCs w:val="22"/>
                <w:lang w:eastAsia="it-IT"/>
              </w:rPr>
              <w:t>unità fino a ml. 5,00</w:t>
            </w:r>
          </w:p>
          <w:p w14:paraId="0D9912D4" w14:textId="77777777" w:rsidR="003C513F" w:rsidRDefault="003C513F" w:rsidP="003C513F">
            <w:pPr>
              <w:pStyle w:val="Paragrafoelenco"/>
              <w:widowControl w:val="0"/>
              <w:numPr>
                <w:ilvl w:val="0"/>
                <w:numId w:val="18"/>
              </w:numPr>
              <w:suppressAutoHyphens/>
              <w:autoSpaceDE w:val="0"/>
              <w:autoSpaceDN w:val="0"/>
              <w:adjustRightInd w:val="0"/>
              <w:spacing w:before="30" w:line="276" w:lineRule="auto"/>
              <w:rPr>
                <w:rFonts w:eastAsia="Times New Roman"/>
                <w:kern w:val="3"/>
                <w:sz w:val="22"/>
                <w:szCs w:val="22"/>
                <w:lang w:eastAsia="it-IT"/>
              </w:rPr>
            </w:pPr>
            <w:r>
              <w:rPr>
                <w:rFonts w:eastAsia="Times New Roman"/>
                <w:kern w:val="3"/>
                <w:sz w:val="22"/>
                <w:szCs w:val="22"/>
                <w:lang w:eastAsia="it-IT"/>
              </w:rPr>
              <w:t>unità da ml. 5,01 a ml. 10,00</w:t>
            </w:r>
          </w:p>
          <w:p w14:paraId="3B3B096D" w14:textId="44741872" w:rsidR="003C513F" w:rsidRPr="00010AA6" w:rsidRDefault="003C513F" w:rsidP="003C513F">
            <w:pPr>
              <w:pStyle w:val="Paragrafoelenco"/>
              <w:widowControl w:val="0"/>
              <w:numPr>
                <w:ilvl w:val="0"/>
                <w:numId w:val="18"/>
              </w:numPr>
              <w:suppressAutoHyphens/>
              <w:autoSpaceDE w:val="0"/>
              <w:autoSpaceDN w:val="0"/>
              <w:adjustRightInd w:val="0"/>
              <w:spacing w:before="30" w:line="276" w:lineRule="auto"/>
              <w:rPr>
                <w:rFonts w:eastAsia="Times New Roman"/>
                <w:kern w:val="3"/>
                <w:sz w:val="22"/>
                <w:szCs w:val="22"/>
                <w:lang w:eastAsia="it-IT"/>
              </w:rPr>
            </w:pPr>
            <w:r>
              <w:rPr>
                <w:rFonts w:eastAsia="Times New Roman"/>
                <w:kern w:val="3"/>
                <w:sz w:val="22"/>
                <w:szCs w:val="22"/>
                <w:lang w:eastAsia="it-IT"/>
              </w:rPr>
              <w:t>unità oltre ml. 10,00</w:t>
            </w:r>
          </w:p>
        </w:tc>
        <w:tc>
          <w:tcPr>
            <w:tcW w:w="3170" w:type="dxa"/>
            <w:vAlign w:val="center"/>
          </w:tcPr>
          <w:p w14:paraId="7094CB5B" w14:textId="77777777" w:rsidR="003C513F" w:rsidRPr="003C513F" w:rsidRDefault="003C513F" w:rsidP="003C513F">
            <w:pPr>
              <w:spacing w:line="276" w:lineRule="auto"/>
              <w:jc w:val="both"/>
              <w:rPr>
                <w:b/>
                <w:bCs/>
                <w:color w:val="000000" w:themeColor="text1"/>
                <w:sz w:val="22"/>
                <w:szCs w:val="22"/>
              </w:rPr>
            </w:pPr>
            <w:r w:rsidRPr="003C513F">
              <w:rPr>
                <w:b/>
                <w:bCs/>
                <w:color w:val="000000" w:themeColor="text1"/>
                <w:sz w:val="22"/>
                <w:szCs w:val="22"/>
              </w:rPr>
              <w:t>30</w:t>
            </w:r>
          </w:p>
          <w:p w14:paraId="174A5347" w14:textId="77777777" w:rsidR="003C513F" w:rsidRPr="003C513F" w:rsidRDefault="003C513F" w:rsidP="003C513F">
            <w:pPr>
              <w:spacing w:line="276" w:lineRule="auto"/>
              <w:jc w:val="both"/>
              <w:rPr>
                <w:b/>
                <w:bCs/>
                <w:color w:val="000000" w:themeColor="text1"/>
                <w:sz w:val="22"/>
                <w:szCs w:val="22"/>
              </w:rPr>
            </w:pPr>
          </w:p>
          <w:p w14:paraId="19698FF4" w14:textId="77777777" w:rsidR="003C513F" w:rsidRPr="003C513F" w:rsidRDefault="003C513F" w:rsidP="003C513F">
            <w:pPr>
              <w:spacing w:line="276" w:lineRule="auto"/>
              <w:jc w:val="both"/>
              <w:rPr>
                <w:b/>
                <w:bCs/>
                <w:color w:val="000000" w:themeColor="text1"/>
                <w:sz w:val="22"/>
                <w:szCs w:val="22"/>
              </w:rPr>
            </w:pPr>
          </w:p>
          <w:p w14:paraId="01C45039" w14:textId="49DA2DF4" w:rsidR="003C513F" w:rsidRPr="003C513F" w:rsidRDefault="003C513F" w:rsidP="003C513F">
            <w:pPr>
              <w:spacing w:line="276" w:lineRule="auto"/>
              <w:jc w:val="both"/>
              <w:rPr>
                <w:b/>
                <w:bCs/>
                <w:color w:val="000000" w:themeColor="text1"/>
                <w:sz w:val="22"/>
                <w:szCs w:val="22"/>
              </w:rPr>
            </w:pPr>
            <w:r w:rsidRPr="003C513F">
              <w:rPr>
                <w:b/>
                <w:bCs/>
                <w:color w:val="000000" w:themeColor="text1"/>
                <w:sz w:val="22"/>
                <w:szCs w:val="22"/>
              </w:rPr>
              <w:t>(</w:t>
            </w:r>
            <w:r>
              <w:rPr>
                <w:b/>
                <w:bCs/>
                <w:color w:val="000000" w:themeColor="text1"/>
                <w:sz w:val="22"/>
                <w:szCs w:val="22"/>
              </w:rPr>
              <w:t>1</w:t>
            </w:r>
            <w:r w:rsidRPr="003C513F">
              <w:rPr>
                <w:b/>
                <w:bCs/>
                <w:color w:val="000000" w:themeColor="text1"/>
                <w:sz w:val="22"/>
                <w:szCs w:val="22"/>
              </w:rPr>
              <w:t>0)</w:t>
            </w:r>
          </w:p>
          <w:p w14:paraId="6346403F" w14:textId="74C25270" w:rsidR="003C513F" w:rsidRPr="003C513F" w:rsidRDefault="003C513F" w:rsidP="003C513F">
            <w:pPr>
              <w:spacing w:line="276" w:lineRule="auto"/>
              <w:jc w:val="both"/>
              <w:rPr>
                <w:b/>
                <w:bCs/>
                <w:color w:val="000000" w:themeColor="text1"/>
                <w:sz w:val="22"/>
                <w:szCs w:val="22"/>
              </w:rPr>
            </w:pPr>
            <w:r w:rsidRPr="003C513F">
              <w:rPr>
                <w:b/>
                <w:bCs/>
                <w:color w:val="000000" w:themeColor="text1"/>
                <w:sz w:val="22"/>
                <w:szCs w:val="22"/>
              </w:rPr>
              <w:t>(</w:t>
            </w:r>
            <w:r>
              <w:rPr>
                <w:b/>
                <w:bCs/>
                <w:color w:val="000000" w:themeColor="text1"/>
                <w:sz w:val="22"/>
                <w:szCs w:val="22"/>
              </w:rPr>
              <w:t>1</w:t>
            </w:r>
            <w:r w:rsidRPr="003C513F">
              <w:rPr>
                <w:b/>
                <w:bCs/>
                <w:color w:val="000000" w:themeColor="text1"/>
                <w:sz w:val="22"/>
                <w:szCs w:val="22"/>
              </w:rPr>
              <w:t>0)</w:t>
            </w:r>
          </w:p>
          <w:p w14:paraId="62E56646" w14:textId="31430CC9" w:rsidR="003C513F" w:rsidRPr="00F97A21" w:rsidRDefault="003C513F" w:rsidP="003C513F">
            <w:pPr>
              <w:spacing w:line="276" w:lineRule="auto"/>
              <w:jc w:val="both"/>
              <w:rPr>
                <w:b/>
                <w:bCs/>
                <w:color w:val="000000" w:themeColor="text1"/>
                <w:sz w:val="22"/>
                <w:szCs w:val="22"/>
              </w:rPr>
            </w:pPr>
            <w:r w:rsidRPr="003C513F">
              <w:rPr>
                <w:b/>
                <w:bCs/>
                <w:color w:val="000000" w:themeColor="text1"/>
                <w:sz w:val="22"/>
                <w:szCs w:val="22"/>
              </w:rPr>
              <w:t>(</w:t>
            </w:r>
            <w:r>
              <w:rPr>
                <w:b/>
                <w:bCs/>
                <w:color w:val="000000" w:themeColor="text1"/>
                <w:sz w:val="22"/>
                <w:szCs w:val="22"/>
              </w:rPr>
              <w:t>1</w:t>
            </w:r>
            <w:r w:rsidRPr="003C513F">
              <w:rPr>
                <w:b/>
                <w:bCs/>
                <w:color w:val="000000" w:themeColor="text1"/>
                <w:sz w:val="22"/>
                <w:szCs w:val="22"/>
              </w:rPr>
              <w:t>0)</w:t>
            </w:r>
          </w:p>
        </w:tc>
      </w:tr>
    </w:tbl>
    <w:p w14:paraId="27A7ABD5" w14:textId="289AF9C6" w:rsidR="001867CC" w:rsidRPr="00010AA6" w:rsidRDefault="00D019E9" w:rsidP="00356323">
      <w:pPr>
        <w:keepNext/>
        <w:suppressAutoHyphens/>
        <w:spacing w:before="30" w:line="276" w:lineRule="auto"/>
        <w:outlineLvl w:val="0"/>
        <w:rPr>
          <w:rFonts w:eastAsia="Times New Roman"/>
          <w:b/>
          <w:bCs/>
          <w:color w:val="000000"/>
          <w:sz w:val="22"/>
          <w:szCs w:val="22"/>
          <w:lang w:eastAsia="ar-SA"/>
        </w:rPr>
      </w:pPr>
      <w:r>
        <w:rPr>
          <w:rFonts w:eastAsia="Times New Roman"/>
          <w:b/>
          <w:bCs/>
          <w:color w:val="000000"/>
          <w:sz w:val="22"/>
          <w:szCs w:val="22"/>
          <w:lang w:eastAsia="ar-SA"/>
        </w:rPr>
        <w:t xml:space="preserve"> </w:t>
      </w:r>
    </w:p>
    <w:p w14:paraId="57A14AD9" w14:textId="6F9B327A" w:rsidR="00DC7667" w:rsidRPr="00010AA6" w:rsidRDefault="00DC7667" w:rsidP="00356323">
      <w:pPr>
        <w:keepNext/>
        <w:suppressAutoHyphens/>
        <w:spacing w:before="30" w:line="276" w:lineRule="auto"/>
        <w:outlineLvl w:val="0"/>
        <w:rPr>
          <w:b/>
          <w:bCs/>
          <w:color w:val="000000" w:themeColor="text1"/>
          <w:sz w:val="22"/>
          <w:szCs w:val="22"/>
        </w:rPr>
      </w:pPr>
      <w:r w:rsidRPr="00010AA6">
        <w:rPr>
          <w:b/>
          <w:bCs/>
          <w:color w:val="000000" w:themeColor="text1"/>
          <w:sz w:val="22"/>
          <w:szCs w:val="22"/>
        </w:rPr>
        <w:t>Offerta economica</w:t>
      </w:r>
    </w:p>
    <w:tbl>
      <w:tblPr>
        <w:tblStyle w:val="Grigliatabella"/>
        <w:tblW w:w="0" w:type="auto"/>
        <w:tblLook w:val="04A0" w:firstRow="1" w:lastRow="0" w:firstColumn="1" w:lastColumn="0" w:noHBand="0" w:noVBand="1"/>
      </w:tblPr>
      <w:tblGrid>
        <w:gridCol w:w="987"/>
        <w:gridCol w:w="5334"/>
        <w:gridCol w:w="3166"/>
      </w:tblGrid>
      <w:tr w:rsidR="00DC7667" w:rsidRPr="00010AA6" w14:paraId="2DC4D19B" w14:textId="77777777" w:rsidTr="00356323">
        <w:tc>
          <w:tcPr>
            <w:tcW w:w="974" w:type="dxa"/>
            <w:vAlign w:val="center"/>
          </w:tcPr>
          <w:p w14:paraId="13D82645" w14:textId="77777777" w:rsidR="00DC7667" w:rsidRPr="00010AA6" w:rsidRDefault="00DC7667" w:rsidP="00356323">
            <w:pPr>
              <w:spacing w:line="276" w:lineRule="auto"/>
              <w:jc w:val="both"/>
              <w:rPr>
                <w:color w:val="000000" w:themeColor="text1"/>
                <w:sz w:val="22"/>
                <w:szCs w:val="22"/>
              </w:rPr>
            </w:pPr>
          </w:p>
        </w:tc>
        <w:tc>
          <w:tcPr>
            <w:tcW w:w="5343" w:type="dxa"/>
            <w:vAlign w:val="center"/>
          </w:tcPr>
          <w:p w14:paraId="6640D565" w14:textId="77777777" w:rsidR="00DC7667" w:rsidRPr="00010AA6" w:rsidRDefault="00DC7667" w:rsidP="00356323">
            <w:pPr>
              <w:spacing w:line="276" w:lineRule="auto"/>
              <w:jc w:val="both"/>
              <w:rPr>
                <w:color w:val="000000" w:themeColor="text1"/>
                <w:sz w:val="22"/>
                <w:szCs w:val="22"/>
              </w:rPr>
            </w:pPr>
            <w:r w:rsidRPr="00010AA6">
              <w:rPr>
                <w:color w:val="000000" w:themeColor="text1"/>
                <w:sz w:val="22"/>
                <w:szCs w:val="22"/>
              </w:rPr>
              <w:t>CRITERIO</w:t>
            </w:r>
          </w:p>
        </w:tc>
        <w:tc>
          <w:tcPr>
            <w:tcW w:w="3170" w:type="dxa"/>
            <w:vAlign w:val="center"/>
          </w:tcPr>
          <w:p w14:paraId="60476399" w14:textId="77777777" w:rsidR="00DC7667" w:rsidRPr="00010AA6" w:rsidRDefault="00DC7667" w:rsidP="00356323">
            <w:pPr>
              <w:spacing w:line="276" w:lineRule="auto"/>
              <w:jc w:val="both"/>
              <w:rPr>
                <w:color w:val="000000" w:themeColor="text1"/>
                <w:sz w:val="22"/>
                <w:szCs w:val="22"/>
              </w:rPr>
            </w:pPr>
            <w:r w:rsidRPr="00010AA6">
              <w:rPr>
                <w:color w:val="000000" w:themeColor="text1"/>
                <w:sz w:val="22"/>
                <w:szCs w:val="22"/>
              </w:rPr>
              <w:t>PUNTEGGIO</w:t>
            </w:r>
          </w:p>
        </w:tc>
      </w:tr>
      <w:tr w:rsidR="00DC7667" w:rsidRPr="00010AA6" w14:paraId="6AEB7747" w14:textId="77777777" w:rsidTr="00356323">
        <w:tc>
          <w:tcPr>
            <w:tcW w:w="974" w:type="dxa"/>
            <w:vAlign w:val="center"/>
          </w:tcPr>
          <w:p w14:paraId="72A9E5CC" w14:textId="5F674E9E" w:rsidR="00DC7667" w:rsidRPr="00010AA6" w:rsidRDefault="00DC7667" w:rsidP="00356323">
            <w:pPr>
              <w:spacing w:line="276" w:lineRule="auto"/>
              <w:jc w:val="both"/>
              <w:rPr>
                <w:color w:val="000000" w:themeColor="text1"/>
                <w:sz w:val="22"/>
                <w:szCs w:val="22"/>
              </w:rPr>
            </w:pPr>
            <w:r w:rsidRPr="00010AA6">
              <w:rPr>
                <w:color w:val="000000" w:themeColor="text1"/>
                <w:sz w:val="22"/>
                <w:szCs w:val="22"/>
              </w:rPr>
              <w:t>Canone</w:t>
            </w:r>
          </w:p>
        </w:tc>
        <w:tc>
          <w:tcPr>
            <w:tcW w:w="5343" w:type="dxa"/>
            <w:vAlign w:val="center"/>
          </w:tcPr>
          <w:p w14:paraId="7AE1AFAD" w14:textId="5C78B900" w:rsidR="00DC7667" w:rsidRPr="00010AA6" w:rsidRDefault="00F97A21" w:rsidP="00356323">
            <w:pPr>
              <w:widowControl w:val="0"/>
              <w:suppressAutoHyphens/>
              <w:autoSpaceDE w:val="0"/>
              <w:autoSpaceDN w:val="0"/>
              <w:adjustRightInd w:val="0"/>
              <w:spacing w:before="30" w:line="276" w:lineRule="auto"/>
              <w:jc w:val="both"/>
              <w:rPr>
                <w:rFonts w:eastAsia="Times New Roman"/>
                <w:bCs/>
                <w:color w:val="000000"/>
                <w:sz w:val="22"/>
                <w:szCs w:val="22"/>
                <w:lang w:eastAsia="ar-SA"/>
              </w:rPr>
            </w:pPr>
            <w:r>
              <w:rPr>
                <w:bCs/>
                <w:color w:val="000000" w:themeColor="text1"/>
                <w:sz w:val="22"/>
                <w:szCs w:val="22"/>
              </w:rPr>
              <w:t>D</w:t>
            </w:r>
            <w:r w:rsidR="00DC7667" w:rsidRPr="00010AA6">
              <w:rPr>
                <w:bCs/>
                <w:color w:val="000000" w:themeColor="text1"/>
                <w:sz w:val="22"/>
                <w:szCs w:val="22"/>
              </w:rPr>
              <w:t xml:space="preserve">ichiarazione della percentuale di rialzo, con due </w:t>
            </w:r>
            <w:r w:rsidR="00DC7667" w:rsidRPr="00010AA6">
              <w:rPr>
                <w:bCs/>
                <w:color w:val="000000" w:themeColor="text1"/>
                <w:sz w:val="22"/>
                <w:szCs w:val="22"/>
              </w:rPr>
              <w:lastRenderedPageBreak/>
              <w:t xml:space="preserve">decimali, offerta rispetto all’importo di € </w:t>
            </w:r>
            <w:r w:rsidR="00DC7667" w:rsidRPr="00010AA6">
              <w:rPr>
                <w:b/>
                <w:color w:val="000000" w:themeColor="text1"/>
                <w:sz w:val="22"/>
                <w:szCs w:val="22"/>
              </w:rPr>
              <w:t>3.204,53</w:t>
            </w:r>
            <w:r w:rsidR="00DC7667" w:rsidRPr="00010AA6">
              <w:rPr>
                <w:b/>
                <w:bCs/>
                <w:color w:val="000000" w:themeColor="text1"/>
                <w:sz w:val="22"/>
                <w:szCs w:val="22"/>
              </w:rPr>
              <w:t xml:space="preserve"> </w:t>
            </w:r>
            <w:r w:rsidR="00DC7667" w:rsidRPr="00010AA6">
              <w:rPr>
                <w:bCs/>
                <w:color w:val="000000" w:themeColor="text1"/>
                <w:sz w:val="22"/>
                <w:szCs w:val="22"/>
              </w:rPr>
              <w:t>posto a base di procedura comparativa</w:t>
            </w:r>
          </w:p>
        </w:tc>
        <w:tc>
          <w:tcPr>
            <w:tcW w:w="3170" w:type="dxa"/>
            <w:vAlign w:val="center"/>
          </w:tcPr>
          <w:p w14:paraId="2B18B499" w14:textId="77777777" w:rsidR="00DC7667" w:rsidRPr="00F97A21" w:rsidRDefault="00DC7667" w:rsidP="00356323">
            <w:pPr>
              <w:spacing w:line="276" w:lineRule="auto"/>
              <w:jc w:val="both"/>
              <w:rPr>
                <w:b/>
                <w:bCs/>
                <w:color w:val="000000" w:themeColor="text1"/>
                <w:sz w:val="22"/>
                <w:szCs w:val="22"/>
              </w:rPr>
            </w:pPr>
            <w:r w:rsidRPr="00F97A21">
              <w:rPr>
                <w:b/>
                <w:bCs/>
                <w:color w:val="000000" w:themeColor="text1"/>
                <w:sz w:val="22"/>
                <w:szCs w:val="22"/>
              </w:rPr>
              <w:lastRenderedPageBreak/>
              <w:t>30</w:t>
            </w:r>
          </w:p>
          <w:p w14:paraId="23A25A6C" w14:textId="77777777" w:rsidR="00F97A21" w:rsidRDefault="00F97A21" w:rsidP="00356323">
            <w:pPr>
              <w:spacing w:line="276" w:lineRule="auto"/>
              <w:jc w:val="both"/>
              <w:rPr>
                <w:color w:val="000000" w:themeColor="text1"/>
                <w:sz w:val="22"/>
                <w:szCs w:val="22"/>
              </w:rPr>
            </w:pPr>
          </w:p>
          <w:p w14:paraId="3F1D87B1" w14:textId="19C3EDB6" w:rsidR="00F97A21" w:rsidRPr="00010AA6" w:rsidRDefault="00F97A21" w:rsidP="00356323">
            <w:pPr>
              <w:spacing w:line="276" w:lineRule="auto"/>
              <w:jc w:val="both"/>
              <w:rPr>
                <w:color w:val="000000" w:themeColor="text1"/>
                <w:sz w:val="22"/>
                <w:szCs w:val="22"/>
              </w:rPr>
            </w:pPr>
          </w:p>
        </w:tc>
      </w:tr>
    </w:tbl>
    <w:p w14:paraId="1285E648" w14:textId="77777777" w:rsidR="00DC7667" w:rsidRPr="00010AA6" w:rsidRDefault="00DC7667" w:rsidP="00356323">
      <w:pPr>
        <w:keepNext/>
        <w:suppressAutoHyphens/>
        <w:spacing w:before="30" w:line="276" w:lineRule="auto"/>
        <w:outlineLvl w:val="0"/>
        <w:rPr>
          <w:rFonts w:eastAsia="Times New Roman"/>
          <w:b/>
          <w:bCs/>
          <w:color w:val="000000"/>
          <w:sz w:val="22"/>
          <w:szCs w:val="22"/>
        </w:rPr>
      </w:pPr>
    </w:p>
    <w:p w14:paraId="33651155" w14:textId="77777777" w:rsidR="00DC7667" w:rsidRPr="00010AA6" w:rsidRDefault="00DC7667" w:rsidP="00356323">
      <w:pPr>
        <w:numPr>
          <w:ilvl w:val="0"/>
          <w:numId w:val="20"/>
        </w:numPr>
        <w:spacing w:line="276" w:lineRule="auto"/>
        <w:ind w:left="0" w:hanging="426"/>
        <w:jc w:val="both"/>
        <w:rPr>
          <w:bCs/>
          <w:color w:val="000000" w:themeColor="text1"/>
          <w:sz w:val="22"/>
          <w:szCs w:val="22"/>
        </w:rPr>
      </w:pPr>
      <w:r w:rsidRPr="00010AA6">
        <w:rPr>
          <w:bCs/>
          <w:color w:val="000000" w:themeColor="text1"/>
          <w:sz w:val="22"/>
          <w:szCs w:val="22"/>
        </w:rPr>
        <w:t>Per quanto concerne l’offerta tecnica, si procederà secondo le seguenti indicazioni:</w:t>
      </w:r>
    </w:p>
    <w:p w14:paraId="15EC993A" w14:textId="6076942E" w:rsidR="00EC20E1" w:rsidRPr="00EC20E1" w:rsidRDefault="00EC20E1" w:rsidP="00E10213">
      <w:pPr>
        <w:spacing w:line="276" w:lineRule="auto"/>
        <w:jc w:val="both"/>
        <w:rPr>
          <w:bCs/>
          <w:color w:val="000000" w:themeColor="text1"/>
          <w:sz w:val="22"/>
          <w:szCs w:val="22"/>
        </w:rPr>
      </w:pPr>
      <w:r w:rsidRPr="00EC20E1">
        <w:rPr>
          <w:bCs/>
          <w:color w:val="000000" w:themeColor="text1"/>
          <w:sz w:val="22"/>
          <w:szCs w:val="22"/>
        </w:rPr>
        <w:t xml:space="preserve">Con riferimento al criterio A, è attribuito </w:t>
      </w:r>
      <w:r>
        <w:rPr>
          <w:bCs/>
          <w:color w:val="000000" w:themeColor="text1"/>
          <w:sz w:val="22"/>
          <w:szCs w:val="22"/>
        </w:rPr>
        <w:t xml:space="preserve">discrezionalmente </w:t>
      </w:r>
      <w:r w:rsidRPr="00EC20E1">
        <w:rPr>
          <w:bCs/>
          <w:color w:val="000000" w:themeColor="text1"/>
          <w:sz w:val="22"/>
          <w:szCs w:val="22"/>
        </w:rPr>
        <w:t>un coefficiente di valutazione, variabile tra zero e uno</w:t>
      </w:r>
      <w:r>
        <w:rPr>
          <w:bCs/>
          <w:color w:val="000000" w:themeColor="text1"/>
          <w:sz w:val="22"/>
          <w:szCs w:val="22"/>
        </w:rPr>
        <w:t>,</w:t>
      </w:r>
      <w:r w:rsidRPr="00EC20E1">
        <w:rPr>
          <w:bCs/>
          <w:color w:val="000000" w:themeColor="text1"/>
          <w:sz w:val="22"/>
          <w:szCs w:val="22"/>
        </w:rPr>
        <w:t xml:space="preserve"> da parte di ciascun commissario in seduta riservata alle proposte delle Imprese concorrenti, variabil</w:t>
      </w:r>
      <w:r>
        <w:rPr>
          <w:bCs/>
          <w:color w:val="000000" w:themeColor="text1"/>
          <w:sz w:val="22"/>
          <w:szCs w:val="22"/>
        </w:rPr>
        <w:t>e</w:t>
      </w:r>
      <w:r w:rsidRPr="00EC20E1">
        <w:rPr>
          <w:bCs/>
          <w:color w:val="000000" w:themeColor="text1"/>
          <w:sz w:val="22"/>
          <w:szCs w:val="22"/>
        </w:rPr>
        <w:t xml:space="preserve"> tra 0 ed 1, in base ai seguenti </w:t>
      </w:r>
      <w:r>
        <w:rPr>
          <w:bCs/>
          <w:color w:val="000000" w:themeColor="text1"/>
          <w:sz w:val="22"/>
          <w:szCs w:val="22"/>
        </w:rPr>
        <w:t>parametri</w:t>
      </w:r>
      <w:r w:rsidRPr="00EC20E1">
        <w:rPr>
          <w:bCs/>
          <w:color w:val="000000" w:themeColor="text1"/>
          <w:sz w:val="22"/>
          <w:szCs w:val="22"/>
        </w:rPr>
        <w:t xml:space="preserve"> di giudizio: </w:t>
      </w:r>
    </w:p>
    <w:p w14:paraId="57F06403" w14:textId="77777777" w:rsidR="00EC20E1" w:rsidRDefault="00EC20E1" w:rsidP="00EC20E1">
      <w:pPr>
        <w:spacing w:line="276" w:lineRule="auto"/>
        <w:rPr>
          <w:bCs/>
          <w:color w:val="000000" w:themeColor="text1"/>
          <w:sz w:val="22"/>
          <w:szCs w:val="22"/>
        </w:rPr>
      </w:pPr>
    </w:p>
    <w:p w14:paraId="30BF083C" w14:textId="29FACC4A" w:rsidR="00EC20E1" w:rsidRDefault="00EC20E1" w:rsidP="00EC20E1">
      <w:pPr>
        <w:spacing w:line="276" w:lineRule="auto"/>
        <w:rPr>
          <w:bCs/>
          <w:color w:val="000000" w:themeColor="text1"/>
          <w:sz w:val="22"/>
          <w:szCs w:val="22"/>
        </w:rPr>
      </w:pPr>
      <w:r w:rsidRPr="00EC20E1">
        <w:rPr>
          <w:bCs/>
          <w:color w:val="000000" w:themeColor="text1"/>
          <w:sz w:val="22"/>
          <w:szCs w:val="22"/>
        </w:rPr>
        <w:t>TABELLA DEI COEFFICIENTI DI VALUTAZIONE</w:t>
      </w:r>
      <w:r>
        <w:rPr>
          <w:bCs/>
          <w:color w:val="000000" w:themeColor="text1"/>
          <w:sz w:val="22"/>
          <w:szCs w:val="22"/>
        </w:rPr>
        <w:t>:</w:t>
      </w:r>
      <w:r w:rsidRPr="00EC20E1">
        <w:rPr>
          <w:bCs/>
          <w:color w:val="000000" w:themeColor="text1"/>
          <w:sz w:val="22"/>
          <w:szCs w:val="22"/>
        </w:rPr>
        <w:t xml:space="preserve"> </w:t>
      </w:r>
    </w:p>
    <w:p w14:paraId="6B9ABABD" w14:textId="77777777" w:rsidR="00EC20E1" w:rsidRPr="00EC20E1" w:rsidRDefault="00EC20E1" w:rsidP="00EC20E1">
      <w:pPr>
        <w:spacing w:line="276" w:lineRule="auto"/>
        <w:rPr>
          <w:bCs/>
          <w:color w:val="000000" w:themeColor="text1"/>
          <w:sz w:val="22"/>
          <w:szCs w:val="22"/>
        </w:rPr>
      </w:pPr>
    </w:p>
    <w:p w14:paraId="2BABA82F" w14:textId="77777777" w:rsidR="00EC20E1" w:rsidRPr="00EC20E1" w:rsidRDefault="00EC20E1" w:rsidP="00EC20E1">
      <w:pPr>
        <w:spacing w:line="276" w:lineRule="auto"/>
        <w:rPr>
          <w:bCs/>
          <w:color w:val="000000" w:themeColor="text1"/>
          <w:sz w:val="22"/>
          <w:szCs w:val="22"/>
        </w:rPr>
      </w:pPr>
      <w:r w:rsidRPr="00EC20E1">
        <w:rPr>
          <w:bCs/>
          <w:color w:val="000000" w:themeColor="text1"/>
          <w:sz w:val="22"/>
          <w:szCs w:val="22"/>
        </w:rPr>
        <w:t xml:space="preserve">Nel caso in cui l’elemento risulti “non trattato”   0 </w:t>
      </w:r>
    </w:p>
    <w:p w14:paraId="735FEA5D" w14:textId="77777777" w:rsidR="00EC20E1" w:rsidRPr="00EC20E1" w:rsidRDefault="00EC20E1" w:rsidP="00EC20E1">
      <w:pPr>
        <w:spacing w:line="276" w:lineRule="auto"/>
        <w:rPr>
          <w:bCs/>
          <w:color w:val="000000" w:themeColor="text1"/>
          <w:sz w:val="22"/>
          <w:szCs w:val="22"/>
        </w:rPr>
      </w:pPr>
      <w:r w:rsidRPr="00EC20E1">
        <w:rPr>
          <w:bCs/>
          <w:color w:val="000000" w:themeColor="text1"/>
          <w:sz w:val="22"/>
          <w:szCs w:val="22"/>
        </w:rPr>
        <w:t xml:space="preserve">Nel caso in cui l’elemento risulti “insufficiente”  0,2 </w:t>
      </w:r>
    </w:p>
    <w:p w14:paraId="41AEE314" w14:textId="77777777" w:rsidR="00EC20E1" w:rsidRPr="00EC20E1" w:rsidRDefault="00EC20E1" w:rsidP="00EC20E1">
      <w:pPr>
        <w:spacing w:line="276" w:lineRule="auto"/>
        <w:rPr>
          <w:bCs/>
          <w:color w:val="000000" w:themeColor="text1"/>
          <w:sz w:val="22"/>
          <w:szCs w:val="22"/>
        </w:rPr>
      </w:pPr>
      <w:r w:rsidRPr="00EC20E1">
        <w:rPr>
          <w:bCs/>
          <w:color w:val="000000" w:themeColor="text1"/>
          <w:sz w:val="22"/>
          <w:szCs w:val="22"/>
        </w:rPr>
        <w:t xml:space="preserve">Nel caso in cui l’elemento risulti “sufficiente”  0,4 </w:t>
      </w:r>
    </w:p>
    <w:p w14:paraId="6D4A4251" w14:textId="77777777" w:rsidR="00EC20E1" w:rsidRPr="00EC20E1" w:rsidRDefault="00EC20E1" w:rsidP="00EC20E1">
      <w:pPr>
        <w:spacing w:line="276" w:lineRule="auto"/>
        <w:rPr>
          <w:bCs/>
          <w:color w:val="000000" w:themeColor="text1"/>
          <w:sz w:val="22"/>
          <w:szCs w:val="22"/>
        </w:rPr>
      </w:pPr>
      <w:r w:rsidRPr="00EC20E1">
        <w:rPr>
          <w:bCs/>
          <w:color w:val="000000" w:themeColor="text1"/>
          <w:sz w:val="22"/>
          <w:szCs w:val="22"/>
        </w:rPr>
        <w:t xml:space="preserve">Nel caso in cui l’elemento risulti “discreto”  0,6 </w:t>
      </w:r>
    </w:p>
    <w:p w14:paraId="54DF0547" w14:textId="77777777" w:rsidR="00EC20E1" w:rsidRPr="00EC20E1" w:rsidRDefault="00EC20E1" w:rsidP="00EC20E1">
      <w:pPr>
        <w:spacing w:line="276" w:lineRule="auto"/>
        <w:rPr>
          <w:bCs/>
          <w:color w:val="000000" w:themeColor="text1"/>
          <w:sz w:val="22"/>
          <w:szCs w:val="22"/>
        </w:rPr>
      </w:pPr>
      <w:r w:rsidRPr="00EC20E1">
        <w:rPr>
          <w:bCs/>
          <w:color w:val="000000" w:themeColor="text1"/>
          <w:sz w:val="22"/>
          <w:szCs w:val="22"/>
        </w:rPr>
        <w:t xml:space="preserve">Nel caso in cui l’elemento risulti “buono”  0,8 </w:t>
      </w:r>
    </w:p>
    <w:p w14:paraId="0ADA4558" w14:textId="77777777" w:rsidR="00EC20E1" w:rsidRPr="00EC20E1" w:rsidRDefault="00EC20E1" w:rsidP="00EC20E1">
      <w:pPr>
        <w:spacing w:line="276" w:lineRule="auto"/>
        <w:rPr>
          <w:bCs/>
          <w:color w:val="000000" w:themeColor="text1"/>
          <w:sz w:val="22"/>
          <w:szCs w:val="22"/>
        </w:rPr>
      </w:pPr>
      <w:r w:rsidRPr="00EC20E1">
        <w:rPr>
          <w:bCs/>
          <w:color w:val="000000" w:themeColor="text1"/>
          <w:sz w:val="22"/>
          <w:szCs w:val="22"/>
        </w:rPr>
        <w:t xml:space="preserve">Nel caso in cui l’elemento risulti “ottimo”  1 </w:t>
      </w:r>
    </w:p>
    <w:p w14:paraId="5726313B" w14:textId="75F9E37F" w:rsidR="00356323" w:rsidRDefault="00EC20E1" w:rsidP="00EC20E1">
      <w:pPr>
        <w:pStyle w:val="Paragrafoelenco"/>
        <w:spacing w:line="276" w:lineRule="auto"/>
        <w:ind w:left="0"/>
        <w:rPr>
          <w:bCs/>
          <w:color w:val="000000" w:themeColor="text1"/>
          <w:sz w:val="22"/>
          <w:szCs w:val="22"/>
        </w:rPr>
      </w:pPr>
      <w:r w:rsidRPr="00EC20E1">
        <w:rPr>
          <w:bCs/>
          <w:color w:val="000000" w:themeColor="text1"/>
          <w:sz w:val="22"/>
          <w:szCs w:val="22"/>
        </w:rPr>
        <w:t xml:space="preserve">La commissione calcola la media aritmetica dei coefficienti attribuiti dai singoli commissari all'offerta in relazione al criterio/sub-criterio in esame, al fine di ottenere il coefficiente medio da applicare al medesimo. L'attribuzione del punteggio riferito </w:t>
      </w:r>
      <w:r w:rsidR="00894556">
        <w:rPr>
          <w:bCs/>
          <w:color w:val="000000" w:themeColor="text1"/>
          <w:sz w:val="22"/>
          <w:szCs w:val="22"/>
        </w:rPr>
        <w:t xml:space="preserve">al criterio </w:t>
      </w:r>
      <w:r w:rsidRPr="00EC20E1">
        <w:rPr>
          <w:bCs/>
          <w:color w:val="000000" w:themeColor="text1"/>
          <w:sz w:val="22"/>
          <w:szCs w:val="22"/>
        </w:rPr>
        <w:t>di valutazione dell'offerta tecnica indicat</w:t>
      </w:r>
      <w:r w:rsidR="00894556">
        <w:rPr>
          <w:bCs/>
          <w:color w:val="000000" w:themeColor="text1"/>
          <w:sz w:val="22"/>
          <w:szCs w:val="22"/>
        </w:rPr>
        <w:t>o</w:t>
      </w:r>
      <w:r w:rsidRPr="00EC20E1">
        <w:rPr>
          <w:bCs/>
          <w:color w:val="000000" w:themeColor="text1"/>
          <w:sz w:val="22"/>
          <w:szCs w:val="22"/>
        </w:rPr>
        <w:t xml:space="preserve"> in questo paragrafo all'i-esimo concorrente scaturirà dal prodotto tra il punteggio massimo attribuibile al criterio stesso moltiplicato per il coefficiente medio relativo al giudizio assegnato.</w:t>
      </w:r>
    </w:p>
    <w:p w14:paraId="5F81893D" w14:textId="77777777" w:rsidR="00EC20E1" w:rsidRDefault="00EC20E1" w:rsidP="00EC20E1">
      <w:pPr>
        <w:pStyle w:val="Paragrafoelenco"/>
        <w:spacing w:line="276" w:lineRule="auto"/>
        <w:ind w:left="0"/>
        <w:rPr>
          <w:bCs/>
          <w:color w:val="000000" w:themeColor="text1"/>
          <w:sz w:val="22"/>
          <w:szCs w:val="22"/>
        </w:rPr>
      </w:pPr>
    </w:p>
    <w:p w14:paraId="1B1D8624" w14:textId="0B13C360" w:rsidR="00356323" w:rsidRPr="004E3B73" w:rsidRDefault="00894556" w:rsidP="00356323">
      <w:pPr>
        <w:spacing w:line="276" w:lineRule="auto"/>
        <w:jc w:val="both"/>
        <w:rPr>
          <w:bCs/>
          <w:color w:val="000000" w:themeColor="text1"/>
          <w:sz w:val="22"/>
          <w:szCs w:val="22"/>
        </w:rPr>
      </w:pPr>
      <w:r w:rsidRPr="002A18B4">
        <w:rPr>
          <w:bCs/>
          <w:color w:val="000000" w:themeColor="text1"/>
          <w:sz w:val="22"/>
          <w:szCs w:val="22"/>
        </w:rPr>
        <w:t xml:space="preserve">Con riferimento al Criterio B verrà applicato il punteggio massimo di 10 punti per ogni singola tariffa alla migliore offerta, ovvero a quella più bassa </w:t>
      </w:r>
      <w:r w:rsidR="002A18B4" w:rsidRPr="002A18B4">
        <w:rPr>
          <w:bCs/>
          <w:sz w:val="22"/>
          <w:szCs w:val="22"/>
        </w:rPr>
        <w:t xml:space="preserve">e </w:t>
      </w:r>
      <w:r w:rsidR="0083249E" w:rsidRPr="002A18B4">
        <w:rPr>
          <w:bCs/>
          <w:color w:val="000000" w:themeColor="text1"/>
          <w:sz w:val="22"/>
          <w:szCs w:val="22"/>
        </w:rPr>
        <w:t>sarà</w:t>
      </w:r>
      <w:r w:rsidR="00356323" w:rsidRPr="004E3B73">
        <w:rPr>
          <w:bCs/>
          <w:color w:val="000000" w:themeColor="text1"/>
          <w:sz w:val="22"/>
          <w:szCs w:val="22"/>
        </w:rPr>
        <w:t xml:space="preserve"> attribuito un punteggio direttamente proporzionale, calcolato moltiplicando il rapporto tra offerta </w:t>
      </w:r>
      <w:r w:rsidR="00356323">
        <w:rPr>
          <w:bCs/>
          <w:color w:val="000000" w:themeColor="text1"/>
          <w:sz w:val="22"/>
          <w:szCs w:val="22"/>
        </w:rPr>
        <w:t>da valutare</w:t>
      </w:r>
      <w:r w:rsidR="00356323" w:rsidRPr="004E3B73">
        <w:rPr>
          <w:bCs/>
          <w:color w:val="000000" w:themeColor="text1"/>
          <w:sz w:val="22"/>
          <w:szCs w:val="22"/>
        </w:rPr>
        <w:t xml:space="preserve"> e offerta </w:t>
      </w:r>
      <w:r w:rsidR="00F97A21">
        <w:rPr>
          <w:bCs/>
          <w:color w:val="000000" w:themeColor="text1"/>
          <w:sz w:val="22"/>
          <w:szCs w:val="22"/>
        </w:rPr>
        <w:t>migliore</w:t>
      </w:r>
      <w:r w:rsidR="00356323" w:rsidRPr="004E3B73">
        <w:rPr>
          <w:bCs/>
          <w:color w:val="000000" w:themeColor="text1"/>
          <w:sz w:val="22"/>
          <w:szCs w:val="22"/>
        </w:rPr>
        <w:t xml:space="preserve"> per il punteggio massimo attribuibile per il </w:t>
      </w:r>
      <w:r w:rsidR="0083249E">
        <w:rPr>
          <w:bCs/>
          <w:color w:val="000000" w:themeColor="text1"/>
          <w:sz w:val="22"/>
          <w:szCs w:val="22"/>
        </w:rPr>
        <w:t>subcriterio</w:t>
      </w:r>
      <w:r w:rsidR="00356323" w:rsidRPr="004E3B73">
        <w:rPr>
          <w:bCs/>
          <w:color w:val="000000" w:themeColor="text1"/>
          <w:sz w:val="22"/>
          <w:szCs w:val="22"/>
        </w:rPr>
        <w:t xml:space="preserve"> in esame (con arrotondamento per eccesso con due decimali), sulla scorta della sottoindicata formula:</w:t>
      </w:r>
    </w:p>
    <w:p w14:paraId="36D1830E" w14:textId="5AF43A00" w:rsidR="000C3636" w:rsidRDefault="000C3636" w:rsidP="00F201AC">
      <w:pPr>
        <w:spacing w:line="276" w:lineRule="auto"/>
        <w:jc w:val="both"/>
        <w:rPr>
          <w:bCs/>
          <w:color w:val="000000" w:themeColor="text1"/>
          <w:sz w:val="22"/>
          <w:szCs w:val="22"/>
        </w:rPr>
      </w:pPr>
    </w:p>
    <w:tbl>
      <w:tblPr>
        <w:tblW w:w="0" w:type="auto"/>
        <w:jc w:val="center"/>
        <w:tblLook w:val="04A0" w:firstRow="1" w:lastRow="0" w:firstColumn="1" w:lastColumn="0" w:noHBand="0" w:noVBand="1"/>
      </w:tblPr>
      <w:tblGrid>
        <w:gridCol w:w="486"/>
        <w:gridCol w:w="345"/>
        <w:gridCol w:w="510"/>
        <w:gridCol w:w="388"/>
        <w:gridCol w:w="693"/>
      </w:tblGrid>
      <w:tr w:rsidR="000C3636" w:rsidRPr="004E3B73" w14:paraId="6FE8762C" w14:textId="77777777" w:rsidTr="000128D6">
        <w:trPr>
          <w:jc w:val="center"/>
        </w:trPr>
        <w:tc>
          <w:tcPr>
            <w:tcW w:w="0" w:type="auto"/>
            <w:vMerge w:val="restart"/>
            <w:vAlign w:val="center"/>
            <w:hideMark/>
          </w:tcPr>
          <w:p w14:paraId="66FFE88D" w14:textId="77777777" w:rsidR="000C3636" w:rsidRPr="004E3B73" w:rsidRDefault="000C3636" w:rsidP="000128D6">
            <w:pPr>
              <w:spacing w:line="276" w:lineRule="auto"/>
              <w:jc w:val="both"/>
              <w:rPr>
                <w:bCs/>
                <w:color w:val="000000" w:themeColor="text1"/>
                <w:sz w:val="22"/>
                <w:szCs w:val="22"/>
              </w:rPr>
            </w:pPr>
            <w:r w:rsidRPr="004E3B73">
              <w:rPr>
                <w:bCs/>
                <w:color w:val="000000" w:themeColor="text1"/>
                <w:sz w:val="22"/>
                <w:szCs w:val="22"/>
              </w:rPr>
              <w:t>Pn</w:t>
            </w:r>
          </w:p>
        </w:tc>
        <w:tc>
          <w:tcPr>
            <w:tcW w:w="0" w:type="auto"/>
            <w:vMerge w:val="restart"/>
            <w:vAlign w:val="center"/>
            <w:hideMark/>
          </w:tcPr>
          <w:p w14:paraId="02895905" w14:textId="77777777" w:rsidR="000C3636" w:rsidRPr="004E3B73" w:rsidRDefault="000C3636" w:rsidP="000128D6">
            <w:pPr>
              <w:spacing w:line="276" w:lineRule="auto"/>
              <w:jc w:val="both"/>
              <w:rPr>
                <w:bCs/>
                <w:color w:val="000000" w:themeColor="text1"/>
                <w:sz w:val="22"/>
                <w:szCs w:val="22"/>
              </w:rPr>
            </w:pPr>
            <w:r w:rsidRPr="004E3B73">
              <w:rPr>
                <w:bCs/>
                <w:color w:val="000000" w:themeColor="text1"/>
                <w:sz w:val="22"/>
                <w:szCs w:val="22"/>
              </w:rPr>
              <w:t>=</w:t>
            </w:r>
          </w:p>
        </w:tc>
        <w:tc>
          <w:tcPr>
            <w:tcW w:w="0" w:type="auto"/>
            <w:tcBorders>
              <w:top w:val="nil"/>
              <w:left w:val="nil"/>
              <w:bottom w:val="single" w:sz="4" w:space="0" w:color="auto"/>
              <w:right w:val="nil"/>
            </w:tcBorders>
            <w:vAlign w:val="center"/>
            <w:hideMark/>
          </w:tcPr>
          <w:p w14:paraId="6A28C897" w14:textId="229A2EA6" w:rsidR="000C3636" w:rsidRPr="004E3B73" w:rsidRDefault="000C3636" w:rsidP="000128D6">
            <w:pPr>
              <w:spacing w:line="276" w:lineRule="auto"/>
              <w:jc w:val="both"/>
              <w:rPr>
                <w:bCs/>
                <w:color w:val="000000" w:themeColor="text1"/>
                <w:sz w:val="22"/>
                <w:szCs w:val="22"/>
              </w:rPr>
            </w:pPr>
            <w:r w:rsidRPr="004E3B73">
              <w:rPr>
                <w:bCs/>
                <w:color w:val="000000" w:themeColor="text1"/>
                <w:sz w:val="22"/>
                <w:szCs w:val="22"/>
              </w:rPr>
              <w:t>O</w:t>
            </w:r>
            <w:r>
              <w:rPr>
                <w:bCs/>
                <w:color w:val="000000" w:themeColor="text1"/>
                <w:sz w:val="22"/>
                <w:szCs w:val="22"/>
              </w:rPr>
              <w:t>1</w:t>
            </w:r>
          </w:p>
        </w:tc>
        <w:tc>
          <w:tcPr>
            <w:tcW w:w="0" w:type="auto"/>
            <w:vMerge w:val="restart"/>
            <w:vAlign w:val="center"/>
            <w:hideMark/>
          </w:tcPr>
          <w:p w14:paraId="39A43667" w14:textId="77777777" w:rsidR="000C3636" w:rsidRPr="004E3B73" w:rsidRDefault="000C3636" w:rsidP="000128D6">
            <w:pPr>
              <w:spacing w:line="276" w:lineRule="auto"/>
              <w:jc w:val="both"/>
              <w:rPr>
                <w:bCs/>
                <w:color w:val="000000" w:themeColor="text1"/>
                <w:sz w:val="22"/>
                <w:szCs w:val="22"/>
              </w:rPr>
            </w:pPr>
            <w:r w:rsidRPr="004E3B73">
              <w:rPr>
                <w:bCs/>
                <w:color w:val="000000" w:themeColor="text1"/>
                <w:sz w:val="22"/>
                <w:szCs w:val="22"/>
              </w:rPr>
              <w:t xml:space="preserve"> x</w:t>
            </w:r>
          </w:p>
        </w:tc>
        <w:tc>
          <w:tcPr>
            <w:tcW w:w="0" w:type="auto"/>
            <w:vMerge w:val="restart"/>
            <w:vAlign w:val="center"/>
            <w:hideMark/>
          </w:tcPr>
          <w:p w14:paraId="6BC7ED53" w14:textId="77777777" w:rsidR="000C3636" w:rsidRPr="004E3B73" w:rsidRDefault="000C3636" w:rsidP="000128D6">
            <w:pPr>
              <w:spacing w:line="276" w:lineRule="auto"/>
              <w:jc w:val="both"/>
              <w:rPr>
                <w:bCs/>
                <w:color w:val="000000" w:themeColor="text1"/>
                <w:sz w:val="22"/>
                <w:szCs w:val="22"/>
              </w:rPr>
            </w:pPr>
            <w:r w:rsidRPr="004E3B73">
              <w:rPr>
                <w:bCs/>
                <w:color w:val="000000" w:themeColor="text1"/>
                <w:sz w:val="22"/>
                <w:szCs w:val="22"/>
              </w:rPr>
              <w:t>PMA</w:t>
            </w:r>
          </w:p>
        </w:tc>
      </w:tr>
      <w:tr w:rsidR="000C3636" w:rsidRPr="004E3B73" w14:paraId="23B054DE" w14:textId="77777777" w:rsidTr="000128D6">
        <w:trPr>
          <w:jc w:val="center"/>
        </w:trPr>
        <w:tc>
          <w:tcPr>
            <w:tcW w:w="0" w:type="auto"/>
            <w:vMerge/>
            <w:vAlign w:val="center"/>
            <w:hideMark/>
          </w:tcPr>
          <w:p w14:paraId="440A5AEA" w14:textId="77777777" w:rsidR="000C3636" w:rsidRPr="004E3B73" w:rsidRDefault="000C3636" w:rsidP="000128D6">
            <w:pPr>
              <w:spacing w:line="276" w:lineRule="auto"/>
              <w:jc w:val="both"/>
              <w:rPr>
                <w:bCs/>
                <w:color w:val="000000" w:themeColor="text1"/>
                <w:sz w:val="22"/>
                <w:szCs w:val="22"/>
              </w:rPr>
            </w:pPr>
          </w:p>
        </w:tc>
        <w:tc>
          <w:tcPr>
            <w:tcW w:w="0" w:type="auto"/>
            <w:vMerge/>
            <w:vAlign w:val="center"/>
            <w:hideMark/>
          </w:tcPr>
          <w:p w14:paraId="5C4E9042" w14:textId="77777777" w:rsidR="000C3636" w:rsidRPr="004E3B73" w:rsidRDefault="000C3636" w:rsidP="000128D6">
            <w:pPr>
              <w:spacing w:line="276" w:lineRule="auto"/>
              <w:jc w:val="both"/>
              <w:rPr>
                <w:bCs/>
                <w:color w:val="000000" w:themeColor="text1"/>
                <w:sz w:val="22"/>
                <w:szCs w:val="22"/>
              </w:rPr>
            </w:pPr>
          </w:p>
        </w:tc>
        <w:tc>
          <w:tcPr>
            <w:tcW w:w="0" w:type="auto"/>
            <w:tcBorders>
              <w:top w:val="single" w:sz="4" w:space="0" w:color="auto"/>
              <w:left w:val="nil"/>
              <w:bottom w:val="nil"/>
              <w:right w:val="nil"/>
            </w:tcBorders>
            <w:vAlign w:val="center"/>
            <w:hideMark/>
          </w:tcPr>
          <w:p w14:paraId="4D01183B" w14:textId="617B57B7" w:rsidR="000C3636" w:rsidRPr="004E3B73" w:rsidRDefault="000C3636" w:rsidP="000128D6">
            <w:pPr>
              <w:spacing w:line="276" w:lineRule="auto"/>
              <w:jc w:val="both"/>
              <w:rPr>
                <w:bCs/>
                <w:color w:val="000000" w:themeColor="text1"/>
                <w:sz w:val="22"/>
                <w:szCs w:val="22"/>
              </w:rPr>
            </w:pPr>
            <w:r w:rsidRPr="004E3B73">
              <w:rPr>
                <w:bCs/>
                <w:color w:val="000000" w:themeColor="text1"/>
                <w:sz w:val="22"/>
                <w:szCs w:val="22"/>
              </w:rPr>
              <w:t>O</w:t>
            </w:r>
            <w:r>
              <w:rPr>
                <w:bCs/>
                <w:color w:val="000000" w:themeColor="text1"/>
                <w:sz w:val="22"/>
                <w:szCs w:val="22"/>
              </w:rPr>
              <w:t>n</w:t>
            </w:r>
          </w:p>
        </w:tc>
        <w:tc>
          <w:tcPr>
            <w:tcW w:w="0" w:type="auto"/>
            <w:vMerge/>
            <w:vAlign w:val="center"/>
            <w:hideMark/>
          </w:tcPr>
          <w:p w14:paraId="3E0B6A9F" w14:textId="77777777" w:rsidR="000C3636" w:rsidRPr="004E3B73" w:rsidRDefault="000C3636" w:rsidP="000128D6">
            <w:pPr>
              <w:spacing w:line="276" w:lineRule="auto"/>
              <w:jc w:val="both"/>
              <w:rPr>
                <w:bCs/>
                <w:color w:val="000000" w:themeColor="text1"/>
                <w:sz w:val="22"/>
                <w:szCs w:val="22"/>
              </w:rPr>
            </w:pPr>
          </w:p>
        </w:tc>
        <w:tc>
          <w:tcPr>
            <w:tcW w:w="0" w:type="auto"/>
            <w:vMerge/>
            <w:vAlign w:val="center"/>
            <w:hideMark/>
          </w:tcPr>
          <w:p w14:paraId="570631C6" w14:textId="77777777" w:rsidR="000C3636" w:rsidRPr="004E3B73" w:rsidRDefault="000C3636" w:rsidP="000128D6">
            <w:pPr>
              <w:spacing w:line="276" w:lineRule="auto"/>
              <w:jc w:val="both"/>
              <w:rPr>
                <w:bCs/>
                <w:color w:val="000000" w:themeColor="text1"/>
                <w:sz w:val="22"/>
                <w:szCs w:val="22"/>
              </w:rPr>
            </w:pPr>
          </w:p>
        </w:tc>
      </w:tr>
    </w:tbl>
    <w:p w14:paraId="299BA787" w14:textId="77777777" w:rsidR="0083249E" w:rsidRPr="004E3B73" w:rsidRDefault="0083249E" w:rsidP="0083249E">
      <w:pPr>
        <w:spacing w:line="276" w:lineRule="auto"/>
        <w:jc w:val="both"/>
        <w:rPr>
          <w:bCs/>
          <w:color w:val="000000" w:themeColor="text1"/>
          <w:sz w:val="22"/>
          <w:szCs w:val="22"/>
        </w:rPr>
      </w:pPr>
      <w:r w:rsidRPr="004E3B73">
        <w:rPr>
          <w:bCs/>
          <w:color w:val="000000" w:themeColor="text1"/>
          <w:sz w:val="22"/>
          <w:szCs w:val="22"/>
        </w:rPr>
        <w:t>Pn</w:t>
      </w:r>
      <w:r w:rsidRPr="004E3B73">
        <w:rPr>
          <w:bCs/>
          <w:color w:val="000000" w:themeColor="text1"/>
          <w:sz w:val="22"/>
          <w:szCs w:val="22"/>
        </w:rPr>
        <w:tab/>
        <w:t>= punteggio da attribuire all’offerta da valutare</w:t>
      </w:r>
    </w:p>
    <w:p w14:paraId="5376B53E" w14:textId="77777777" w:rsidR="0083249E" w:rsidRPr="004E3B73" w:rsidRDefault="0083249E" w:rsidP="0083249E">
      <w:pPr>
        <w:spacing w:line="276" w:lineRule="auto"/>
        <w:jc w:val="both"/>
        <w:rPr>
          <w:bCs/>
          <w:color w:val="000000" w:themeColor="text1"/>
          <w:sz w:val="22"/>
          <w:szCs w:val="22"/>
        </w:rPr>
      </w:pPr>
      <w:r w:rsidRPr="004E3B73">
        <w:rPr>
          <w:bCs/>
          <w:color w:val="000000" w:themeColor="text1"/>
          <w:sz w:val="22"/>
          <w:szCs w:val="22"/>
        </w:rPr>
        <w:t>O1 = offerta m</w:t>
      </w:r>
      <w:r>
        <w:rPr>
          <w:bCs/>
          <w:color w:val="000000" w:themeColor="text1"/>
          <w:sz w:val="22"/>
          <w:szCs w:val="22"/>
        </w:rPr>
        <w:t>iglio</w:t>
      </w:r>
      <w:r w:rsidRPr="004E3B73">
        <w:rPr>
          <w:bCs/>
          <w:color w:val="000000" w:themeColor="text1"/>
          <w:sz w:val="22"/>
          <w:szCs w:val="22"/>
        </w:rPr>
        <w:t>re</w:t>
      </w:r>
    </w:p>
    <w:p w14:paraId="0C13E524" w14:textId="77777777" w:rsidR="0083249E" w:rsidRPr="004E3B73" w:rsidRDefault="0083249E" w:rsidP="0083249E">
      <w:pPr>
        <w:spacing w:line="276" w:lineRule="auto"/>
        <w:jc w:val="both"/>
        <w:rPr>
          <w:bCs/>
          <w:color w:val="000000" w:themeColor="text1"/>
          <w:sz w:val="22"/>
          <w:szCs w:val="22"/>
        </w:rPr>
      </w:pPr>
      <w:r w:rsidRPr="004E3B73">
        <w:rPr>
          <w:bCs/>
          <w:color w:val="000000" w:themeColor="text1"/>
          <w:sz w:val="22"/>
          <w:szCs w:val="22"/>
        </w:rPr>
        <w:t>On = offerta per la quale va determinato il punteggio</w:t>
      </w:r>
    </w:p>
    <w:p w14:paraId="724A52D8" w14:textId="0583D215" w:rsidR="0083249E" w:rsidRDefault="0083249E" w:rsidP="0083249E">
      <w:pPr>
        <w:spacing w:line="276" w:lineRule="auto"/>
        <w:jc w:val="both"/>
        <w:rPr>
          <w:bCs/>
          <w:color w:val="000000" w:themeColor="text1"/>
          <w:sz w:val="22"/>
          <w:szCs w:val="22"/>
        </w:rPr>
      </w:pPr>
      <w:r w:rsidRPr="004E3B73">
        <w:rPr>
          <w:bCs/>
          <w:color w:val="000000" w:themeColor="text1"/>
          <w:sz w:val="22"/>
          <w:szCs w:val="22"/>
        </w:rPr>
        <w:t xml:space="preserve">PMA= punteggio massimo attribuibile per il </w:t>
      </w:r>
      <w:r>
        <w:rPr>
          <w:bCs/>
          <w:color w:val="000000" w:themeColor="text1"/>
          <w:sz w:val="22"/>
          <w:szCs w:val="22"/>
        </w:rPr>
        <w:t>subcriterio</w:t>
      </w:r>
      <w:r w:rsidRPr="004E3B73">
        <w:rPr>
          <w:bCs/>
          <w:color w:val="000000" w:themeColor="text1"/>
          <w:sz w:val="22"/>
          <w:szCs w:val="22"/>
        </w:rPr>
        <w:t xml:space="preserve"> in esame</w:t>
      </w:r>
    </w:p>
    <w:p w14:paraId="1B7689A5" w14:textId="77777777" w:rsidR="000C3636" w:rsidRDefault="000C3636" w:rsidP="00F201AC">
      <w:pPr>
        <w:spacing w:line="276" w:lineRule="auto"/>
        <w:jc w:val="both"/>
        <w:rPr>
          <w:bCs/>
          <w:color w:val="000000" w:themeColor="text1"/>
          <w:sz w:val="22"/>
          <w:szCs w:val="22"/>
        </w:rPr>
      </w:pPr>
    </w:p>
    <w:p w14:paraId="09AFDEA0" w14:textId="18B11D6C" w:rsidR="0083249E" w:rsidRPr="004E3B73" w:rsidRDefault="0083249E" w:rsidP="0083249E">
      <w:pPr>
        <w:spacing w:line="276" w:lineRule="auto"/>
        <w:jc w:val="both"/>
        <w:rPr>
          <w:bCs/>
          <w:color w:val="000000" w:themeColor="text1"/>
          <w:sz w:val="22"/>
          <w:szCs w:val="22"/>
        </w:rPr>
      </w:pPr>
      <w:r w:rsidRPr="00EC20E1">
        <w:rPr>
          <w:bCs/>
          <w:color w:val="000000" w:themeColor="text1"/>
          <w:sz w:val="22"/>
          <w:szCs w:val="22"/>
        </w:rPr>
        <w:t xml:space="preserve">L'attribuzione del punteggio riferito </w:t>
      </w:r>
      <w:r>
        <w:rPr>
          <w:bCs/>
          <w:color w:val="000000" w:themeColor="text1"/>
          <w:sz w:val="22"/>
          <w:szCs w:val="22"/>
        </w:rPr>
        <w:t xml:space="preserve">al criterio </w:t>
      </w:r>
      <w:r w:rsidRPr="00EC20E1">
        <w:rPr>
          <w:bCs/>
          <w:color w:val="000000" w:themeColor="text1"/>
          <w:sz w:val="22"/>
          <w:szCs w:val="22"/>
        </w:rPr>
        <w:t>di valutazione</w:t>
      </w:r>
      <w:r>
        <w:rPr>
          <w:bCs/>
          <w:color w:val="000000" w:themeColor="text1"/>
          <w:sz w:val="22"/>
          <w:szCs w:val="22"/>
        </w:rPr>
        <w:t xml:space="preserve"> “B” </w:t>
      </w:r>
      <w:r w:rsidR="002A4246">
        <w:rPr>
          <w:bCs/>
          <w:color w:val="000000" w:themeColor="text1"/>
          <w:sz w:val="22"/>
          <w:szCs w:val="22"/>
        </w:rPr>
        <w:t>sarà determinata</w:t>
      </w:r>
      <w:r>
        <w:rPr>
          <w:bCs/>
          <w:color w:val="000000" w:themeColor="text1"/>
          <w:sz w:val="22"/>
          <w:szCs w:val="22"/>
        </w:rPr>
        <w:t xml:space="preserve"> sulla base della sommatoria dei punteggi parziali attribuiti secondo la formula sopra indicata.</w:t>
      </w:r>
    </w:p>
    <w:p w14:paraId="7904BDAF" w14:textId="77777777" w:rsidR="0083249E" w:rsidRDefault="0083249E" w:rsidP="00F201AC">
      <w:pPr>
        <w:spacing w:line="276" w:lineRule="auto"/>
        <w:jc w:val="both"/>
        <w:rPr>
          <w:bCs/>
          <w:color w:val="000000" w:themeColor="text1"/>
          <w:sz w:val="22"/>
          <w:szCs w:val="22"/>
        </w:rPr>
      </w:pPr>
    </w:p>
    <w:p w14:paraId="4BBFECCA" w14:textId="7FE04CEE"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I punteggi relativi</w:t>
      </w:r>
      <w:r w:rsidR="000236C9">
        <w:rPr>
          <w:bCs/>
          <w:color w:val="000000" w:themeColor="text1"/>
          <w:sz w:val="22"/>
          <w:szCs w:val="22"/>
        </w:rPr>
        <w:t xml:space="preserve"> </w:t>
      </w:r>
      <w:r w:rsidR="00B51037">
        <w:rPr>
          <w:bCs/>
          <w:color w:val="000000" w:themeColor="text1"/>
          <w:sz w:val="22"/>
          <w:szCs w:val="22"/>
        </w:rPr>
        <w:t xml:space="preserve">ai </w:t>
      </w:r>
      <w:r w:rsidR="000236C9">
        <w:rPr>
          <w:bCs/>
          <w:color w:val="000000" w:themeColor="text1"/>
          <w:sz w:val="22"/>
          <w:szCs w:val="22"/>
        </w:rPr>
        <w:t>superiori</w:t>
      </w:r>
      <w:r w:rsidRPr="004E3B73">
        <w:rPr>
          <w:bCs/>
          <w:color w:val="000000" w:themeColor="text1"/>
          <w:sz w:val="22"/>
          <w:szCs w:val="22"/>
        </w:rPr>
        <w:t xml:space="preserve"> criteri saranno attribuiti in base alle dichiarazioni rese dai concorrenti e saranno oggetto di verifica</w:t>
      </w:r>
      <w:r w:rsidR="0083249E">
        <w:rPr>
          <w:bCs/>
          <w:color w:val="000000" w:themeColor="text1"/>
          <w:sz w:val="22"/>
          <w:szCs w:val="22"/>
        </w:rPr>
        <w:t xml:space="preserve"> </w:t>
      </w:r>
      <w:r w:rsidRPr="004E3B73">
        <w:rPr>
          <w:bCs/>
          <w:color w:val="000000" w:themeColor="text1"/>
          <w:sz w:val="22"/>
          <w:szCs w:val="22"/>
        </w:rPr>
        <w:t>in vigenza del rilasciando titolo concessorio.</w:t>
      </w:r>
    </w:p>
    <w:p w14:paraId="1CEBD947" w14:textId="77777777" w:rsidR="00356323" w:rsidRPr="004E3B73" w:rsidRDefault="00356323" w:rsidP="00356323">
      <w:pPr>
        <w:spacing w:line="276" w:lineRule="auto"/>
        <w:jc w:val="both"/>
        <w:rPr>
          <w:bCs/>
          <w:color w:val="000000" w:themeColor="text1"/>
          <w:sz w:val="22"/>
          <w:szCs w:val="22"/>
        </w:rPr>
      </w:pPr>
    </w:p>
    <w:p w14:paraId="2FC7E8D5" w14:textId="77777777" w:rsidR="00356323" w:rsidRPr="004E3B73" w:rsidRDefault="00356323" w:rsidP="00356323">
      <w:pPr>
        <w:numPr>
          <w:ilvl w:val="0"/>
          <w:numId w:val="20"/>
        </w:numPr>
        <w:spacing w:line="276" w:lineRule="auto"/>
        <w:jc w:val="both"/>
        <w:rPr>
          <w:bCs/>
          <w:color w:val="000000" w:themeColor="text1"/>
          <w:sz w:val="22"/>
          <w:szCs w:val="22"/>
        </w:rPr>
      </w:pPr>
      <w:r w:rsidRPr="004E3B73">
        <w:rPr>
          <w:bCs/>
          <w:color w:val="000000" w:themeColor="text1"/>
          <w:sz w:val="22"/>
          <w:szCs w:val="22"/>
        </w:rPr>
        <w:lastRenderedPageBreak/>
        <w:t xml:space="preserve">Con riferimento all’offerta economica verrà attribuito il punteggio massimo alla migliore offerta presentata (in termini di </w:t>
      </w:r>
      <w:r w:rsidRPr="004E3B73">
        <w:rPr>
          <w:bCs/>
          <w:color w:val="000000" w:themeColor="text1"/>
          <w:sz w:val="22"/>
          <w:szCs w:val="22"/>
          <w:u w:val="single"/>
        </w:rPr>
        <w:t>maggior rialzo percentuale</w:t>
      </w:r>
      <w:r w:rsidRPr="004E3B73">
        <w:rPr>
          <w:bCs/>
          <w:color w:val="000000" w:themeColor="text1"/>
          <w:sz w:val="22"/>
          <w:szCs w:val="22"/>
        </w:rPr>
        <w:t xml:space="preserve"> sul canone base)</w:t>
      </w:r>
    </w:p>
    <w:p w14:paraId="233C0B0C" w14:textId="77777777" w:rsidR="00356323" w:rsidRPr="004E3B73" w:rsidRDefault="00356323" w:rsidP="00356323">
      <w:pPr>
        <w:spacing w:line="276" w:lineRule="auto"/>
        <w:jc w:val="both"/>
        <w:rPr>
          <w:bCs/>
          <w:color w:val="000000" w:themeColor="text1"/>
          <w:sz w:val="22"/>
          <w:szCs w:val="22"/>
        </w:rPr>
      </w:pPr>
      <w:r>
        <w:rPr>
          <w:bCs/>
          <w:color w:val="000000" w:themeColor="text1"/>
          <w:sz w:val="22"/>
          <w:szCs w:val="22"/>
        </w:rPr>
        <w:t xml:space="preserve">A ciascun concorrente </w:t>
      </w:r>
      <w:r w:rsidRPr="004E3B73">
        <w:rPr>
          <w:bCs/>
          <w:color w:val="000000" w:themeColor="text1"/>
          <w:sz w:val="22"/>
          <w:szCs w:val="22"/>
        </w:rPr>
        <w:t>sarà attribuito un punteggio direttamente proporzionale, determinato applicando la seguente formula:</w:t>
      </w:r>
    </w:p>
    <w:p w14:paraId="518092C4"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Pi</w:t>
      </w:r>
      <w:r w:rsidRPr="004E3B73">
        <w:rPr>
          <w:bCs/>
          <w:color w:val="000000" w:themeColor="text1"/>
          <w:sz w:val="22"/>
          <w:szCs w:val="22"/>
        </w:rPr>
        <w:tab/>
        <w:t>= punteggio da attribuire all’offerta minore</w:t>
      </w:r>
    </w:p>
    <w:p w14:paraId="4C8B4703"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 xml:space="preserve">R1 </w:t>
      </w:r>
      <w:r w:rsidRPr="004E3B73">
        <w:rPr>
          <w:bCs/>
          <w:color w:val="000000" w:themeColor="text1"/>
          <w:sz w:val="22"/>
          <w:szCs w:val="22"/>
        </w:rPr>
        <w:tab/>
        <w:t>= percentuale di rialzo maggiore sul canone base</w:t>
      </w:r>
    </w:p>
    <w:p w14:paraId="163027D1"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 xml:space="preserve">Ri </w:t>
      </w:r>
      <w:r w:rsidRPr="004E3B73">
        <w:rPr>
          <w:bCs/>
          <w:color w:val="000000" w:themeColor="text1"/>
          <w:sz w:val="22"/>
          <w:szCs w:val="22"/>
        </w:rPr>
        <w:tab/>
        <w:t>= percentuale di rialzo minore per il quale va determinato il punteggio</w:t>
      </w:r>
    </w:p>
    <w:p w14:paraId="50743BB7"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PMA= punteggio massimo attribuibile per il parametro in esame</w:t>
      </w:r>
    </w:p>
    <w:tbl>
      <w:tblPr>
        <w:tblW w:w="0" w:type="auto"/>
        <w:jc w:val="center"/>
        <w:tblLook w:val="04A0" w:firstRow="1" w:lastRow="0" w:firstColumn="1" w:lastColumn="0" w:noHBand="0" w:noVBand="1"/>
      </w:tblPr>
      <w:tblGrid>
        <w:gridCol w:w="363"/>
        <w:gridCol w:w="345"/>
        <w:gridCol w:w="498"/>
        <w:gridCol w:w="388"/>
        <w:gridCol w:w="693"/>
      </w:tblGrid>
      <w:tr w:rsidR="00356323" w:rsidRPr="004E3B73" w14:paraId="4A733E85" w14:textId="77777777" w:rsidTr="003D7CDE">
        <w:trPr>
          <w:jc w:val="center"/>
        </w:trPr>
        <w:tc>
          <w:tcPr>
            <w:tcW w:w="0" w:type="auto"/>
            <w:vMerge w:val="restart"/>
            <w:vAlign w:val="center"/>
            <w:hideMark/>
          </w:tcPr>
          <w:p w14:paraId="1623BD91"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P</w:t>
            </w:r>
          </w:p>
        </w:tc>
        <w:tc>
          <w:tcPr>
            <w:tcW w:w="0" w:type="auto"/>
            <w:vMerge w:val="restart"/>
            <w:vAlign w:val="center"/>
            <w:hideMark/>
          </w:tcPr>
          <w:p w14:paraId="742C0E3B"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w:t>
            </w:r>
          </w:p>
        </w:tc>
        <w:tc>
          <w:tcPr>
            <w:tcW w:w="0" w:type="auto"/>
            <w:tcBorders>
              <w:top w:val="nil"/>
              <w:left w:val="nil"/>
              <w:bottom w:val="single" w:sz="4" w:space="0" w:color="auto"/>
              <w:right w:val="nil"/>
            </w:tcBorders>
            <w:vAlign w:val="center"/>
            <w:hideMark/>
          </w:tcPr>
          <w:p w14:paraId="592AF43A" w14:textId="77777777" w:rsidR="00356323" w:rsidRPr="004E3B73" w:rsidRDefault="00356323" w:rsidP="00356323">
            <w:pPr>
              <w:spacing w:line="276" w:lineRule="auto"/>
              <w:jc w:val="both"/>
              <w:rPr>
                <w:bCs/>
                <w:color w:val="000000" w:themeColor="text1"/>
                <w:sz w:val="22"/>
                <w:szCs w:val="22"/>
              </w:rPr>
            </w:pPr>
          </w:p>
          <w:p w14:paraId="5FE84C94"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Ri</w:t>
            </w:r>
          </w:p>
        </w:tc>
        <w:tc>
          <w:tcPr>
            <w:tcW w:w="0" w:type="auto"/>
            <w:vMerge w:val="restart"/>
            <w:vAlign w:val="center"/>
            <w:hideMark/>
          </w:tcPr>
          <w:p w14:paraId="6DCEBF1A"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 xml:space="preserve"> x</w:t>
            </w:r>
          </w:p>
        </w:tc>
        <w:tc>
          <w:tcPr>
            <w:tcW w:w="0" w:type="auto"/>
            <w:vMerge w:val="restart"/>
            <w:vAlign w:val="center"/>
            <w:hideMark/>
          </w:tcPr>
          <w:p w14:paraId="2F863385"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PMA</w:t>
            </w:r>
          </w:p>
        </w:tc>
      </w:tr>
      <w:tr w:rsidR="00356323" w:rsidRPr="004E3B73" w14:paraId="652FA0DC" w14:textId="77777777" w:rsidTr="003D7CDE">
        <w:trPr>
          <w:jc w:val="center"/>
        </w:trPr>
        <w:tc>
          <w:tcPr>
            <w:tcW w:w="0" w:type="auto"/>
            <w:vMerge/>
            <w:vAlign w:val="center"/>
            <w:hideMark/>
          </w:tcPr>
          <w:p w14:paraId="42325FEA" w14:textId="77777777" w:rsidR="00356323" w:rsidRPr="004E3B73" w:rsidRDefault="00356323" w:rsidP="00356323">
            <w:pPr>
              <w:spacing w:line="276" w:lineRule="auto"/>
              <w:jc w:val="both"/>
              <w:rPr>
                <w:bCs/>
                <w:color w:val="000000" w:themeColor="text1"/>
                <w:sz w:val="22"/>
                <w:szCs w:val="22"/>
              </w:rPr>
            </w:pPr>
          </w:p>
        </w:tc>
        <w:tc>
          <w:tcPr>
            <w:tcW w:w="0" w:type="auto"/>
            <w:vMerge/>
            <w:vAlign w:val="center"/>
            <w:hideMark/>
          </w:tcPr>
          <w:p w14:paraId="2196678E" w14:textId="77777777" w:rsidR="00356323" w:rsidRPr="004E3B73" w:rsidRDefault="00356323" w:rsidP="00356323">
            <w:pPr>
              <w:spacing w:line="276" w:lineRule="auto"/>
              <w:jc w:val="both"/>
              <w:rPr>
                <w:bCs/>
                <w:color w:val="000000" w:themeColor="text1"/>
                <w:sz w:val="22"/>
                <w:szCs w:val="22"/>
              </w:rPr>
            </w:pPr>
          </w:p>
        </w:tc>
        <w:tc>
          <w:tcPr>
            <w:tcW w:w="0" w:type="auto"/>
            <w:tcBorders>
              <w:top w:val="single" w:sz="4" w:space="0" w:color="auto"/>
              <w:left w:val="nil"/>
              <w:bottom w:val="nil"/>
              <w:right w:val="nil"/>
            </w:tcBorders>
            <w:vAlign w:val="center"/>
            <w:hideMark/>
          </w:tcPr>
          <w:p w14:paraId="220F7A5F" w14:textId="77777777" w:rsidR="00356323" w:rsidRPr="004E3B73" w:rsidRDefault="00356323" w:rsidP="00356323">
            <w:pPr>
              <w:spacing w:line="276" w:lineRule="auto"/>
              <w:jc w:val="both"/>
              <w:rPr>
                <w:bCs/>
                <w:color w:val="000000" w:themeColor="text1"/>
                <w:sz w:val="22"/>
                <w:szCs w:val="22"/>
              </w:rPr>
            </w:pPr>
            <w:r w:rsidRPr="004E3B73">
              <w:rPr>
                <w:bCs/>
                <w:color w:val="000000" w:themeColor="text1"/>
                <w:sz w:val="22"/>
                <w:szCs w:val="22"/>
              </w:rPr>
              <w:t>R1</w:t>
            </w:r>
          </w:p>
        </w:tc>
        <w:tc>
          <w:tcPr>
            <w:tcW w:w="0" w:type="auto"/>
            <w:vMerge/>
            <w:vAlign w:val="center"/>
            <w:hideMark/>
          </w:tcPr>
          <w:p w14:paraId="46D64270" w14:textId="77777777" w:rsidR="00356323" w:rsidRPr="004E3B73" w:rsidRDefault="00356323" w:rsidP="00356323">
            <w:pPr>
              <w:spacing w:line="276" w:lineRule="auto"/>
              <w:jc w:val="both"/>
              <w:rPr>
                <w:bCs/>
                <w:color w:val="000000" w:themeColor="text1"/>
                <w:sz w:val="22"/>
                <w:szCs w:val="22"/>
              </w:rPr>
            </w:pPr>
          </w:p>
        </w:tc>
        <w:tc>
          <w:tcPr>
            <w:tcW w:w="0" w:type="auto"/>
            <w:vMerge/>
            <w:vAlign w:val="center"/>
            <w:hideMark/>
          </w:tcPr>
          <w:p w14:paraId="24BF97CF" w14:textId="77777777" w:rsidR="00356323" w:rsidRPr="004E3B73" w:rsidRDefault="00356323" w:rsidP="00356323">
            <w:pPr>
              <w:spacing w:line="276" w:lineRule="auto"/>
              <w:jc w:val="both"/>
              <w:rPr>
                <w:bCs/>
                <w:color w:val="000000" w:themeColor="text1"/>
                <w:sz w:val="22"/>
                <w:szCs w:val="22"/>
              </w:rPr>
            </w:pPr>
          </w:p>
        </w:tc>
      </w:tr>
    </w:tbl>
    <w:p w14:paraId="6F3B0EC1" w14:textId="77777777" w:rsidR="00356323" w:rsidRPr="004E3B73" w:rsidRDefault="00356323" w:rsidP="00356323">
      <w:pPr>
        <w:spacing w:line="276" w:lineRule="auto"/>
        <w:jc w:val="both"/>
        <w:rPr>
          <w:bCs/>
          <w:color w:val="000000" w:themeColor="text1"/>
          <w:sz w:val="22"/>
          <w:szCs w:val="22"/>
        </w:rPr>
      </w:pPr>
    </w:p>
    <w:p w14:paraId="47B20576" w14:textId="77777777" w:rsidR="00356323" w:rsidRPr="004E3B73" w:rsidRDefault="00356323" w:rsidP="00B51037">
      <w:pPr>
        <w:spacing w:line="276" w:lineRule="auto"/>
        <w:jc w:val="both"/>
        <w:rPr>
          <w:bCs/>
          <w:color w:val="000000" w:themeColor="text1"/>
          <w:sz w:val="22"/>
          <w:szCs w:val="22"/>
        </w:rPr>
      </w:pPr>
      <w:r w:rsidRPr="004E3B73">
        <w:rPr>
          <w:bCs/>
          <w:color w:val="000000" w:themeColor="text1"/>
          <w:sz w:val="22"/>
          <w:szCs w:val="22"/>
        </w:rPr>
        <w:t>L’aggiudicazione provvisoria sarà disposta a favore del concorrente che avrà ottenuto il maggior punteggio complessivo, scaturente dalla sommatoria finale del punteggio tecnico attribuito e di quello assegnato per l’offerta economica.</w:t>
      </w:r>
    </w:p>
    <w:p w14:paraId="5B3F5461" w14:textId="138869BE" w:rsidR="00356323" w:rsidRPr="00010AA6" w:rsidRDefault="00356323" w:rsidP="00B51037">
      <w:pPr>
        <w:pStyle w:val="Paragrafoelenco"/>
        <w:spacing w:line="276" w:lineRule="auto"/>
        <w:ind w:left="0"/>
        <w:rPr>
          <w:bCs/>
          <w:color w:val="000000" w:themeColor="text1"/>
          <w:sz w:val="22"/>
          <w:szCs w:val="22"/>
        </w:rPr>
      </w:pPr>
      <w:r w:rsidRPr="004E3B73">
        <w:rPr>
          <w:bCs/>
          <w:color w:val="000000" w:themeColor="text1"/>
          <w:sz w:val="22"/>
          <w:szCs w:val="22"/>
        </w:rPr>
        <w:t>L’aggiudicazione definitiva sarà disposta, previo espletamento delle verifiche di legge.</w:t>
      </w:r>
    </w:p>
    <w:p w14:paraId="18827C28" w14:textId="77777777" w:rsidR="00B51037" w:rsidRDefault="00B51037" w:rsidP="00B51037">
      <w:pPr>
        <w:keepNext/>
        <w:suppressAutoHyphens/>
        <w:spacing w:before="30" w:line="276" w:lineRule="auto"/>
        <w:outlineLvl w:val="0"/>
        <w:rPr>
          <w:rFonts w:eastAsia="Times New Roman"/>
          <w:b/>
          <w:bCs/>
          <w:color w:val="000000"/>
          <w:sz w:val="22"/>
          <w:szCs w:val="22"/>
        </w:rPr>
      </w:pPr>
    </w:p>
    <w:p w14:paraId="4730FA58" w14:textId="6944E158" w:rsidR="008D3B44" w:rsidRPr="00010AA6" w:rsidRDefault="008D3B44" w:rsidP="00356323">
      <w:pPr>
        <w:keepNext/>
        <w:suppressAutoHyphens/>
        <w:spacing w:before="30" w:line="276" w:lineRule="auto"/>
        <w:jc w:val="center"/>
        <w:outlineLvl w:val="0"/>
        <w:rPr>
          <w:rFonts w:eastAsia="Times New Roman"/>
          <w:b/>
          <w:bCs/>
          <w:color w:val="000000"/>
          <w:sz w:val="22"/>
          <w:szCs w:val="22"/>
          <w:lang w:eastAsia="ar-SA"/>
        </w:rPr>
      </w:pPr>
      <w:r w:rsidRPr="00010AA6">
        <w:rPr>
          <w:rFonts w:eastAsia="Times New Roman"/>
          <w:b/>
          <w:bCs/>
          <w:color w:val="000000"/>
          <w:sz w:val="22"/>
          <w:szCs w:val="22"/>
          <w:lang w:eastAsia="ar-SA"/>
        </w:rPr>
        <w:t xml:space="preserve">PROCEDURA DI AGGIUDICAZIONE </w:t>
      </w:r>
    </w:p>
    <w:p w14:paraId="3D00E1CD" w14:textId="77777777" w:rsidR="008D3B44" w:rsidRPr="00010AA6" w:rsidRDefault="008D3B44" w:rsidP="00356323">
      <w:pPr>
        <w:suppressAutoHyphens/>
        <w:spacing w:before="30" w:line="276" w:lineRule="auto"/>
        <w:rPr>
          <w:rFonts w:eastAsia="Times New Roman"/>
          <w:b/>
          <w:color w:val="000000"/>
          <w:sz w:val="22"/>
          <w:szCs w:val="22"/>
          <w:lang w:eastAsia="ar-SA"/>
        </w:rPr>
      </w:pPr>
    </w:p>
    <w:p w14:paraId="725AE2D4" w14:textId="1A530728" w:rsidR="003F76BE" w:rsidRPr="00010AA6" w:rsidRDefault="003F76BE" w:rsidP="00356323">
      <w:pPr>
        <w:widowControl w:val="0"/>
        <w:suppressAutoHyphens/>
        <w:autoSpaceDE w:val="0"/>
        <w:autoSpaceDN w:val="0"/>
        <w:adjustRightInd w:val="0"/>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La Commissione, all’uopo nominata, nel giorno stabilito e comunicato alle concorrenti, procederà all’apertura delle offerte (Busta A – documentazione amministrativa</w:t>
      </w:r>
      <w:r w:rsidR="008B13FD" w:rsidRPr="00010AA6">
        <w:rPr>
          <w:rFonts w:eastAsia="Times New Roman"/>
          <w:color w:val="000000"/>
          <w:sz w:val="22"/>
          <w:szCs w:val="22"/>
          <w:lang w:eastAsia="ar-SA"/>
        </w:rPr>
        <w:t>, Busta B – offerta tecnica e</w:t>
      </w:r>
      <w:r w:rsidRPr="00010AA6">
        <w:rPr>
          <w:rFonts w:eastAsia="Times New Roman"/>
          <w:color w:val="000000"/>
          <w:sz w:val="22"/>
          <w:szCs w:val="22"/>
          <w:lang w:eastAsia="ar-SA"/>
        </w:rPr>
        <w:t xml:space="preserve"> Busta </w:t>
      </w:r>
      <w:r w:rsidR="008B13FD" w:rsidRPr="00010AA6">
        <w:rPr>
          <w:rFonts w:eastAsia="Times New Roman"/>
          <w:color w:val="000000"/>
          <w:sz w:val="22"/>
          <w:szCs w:val="22"/>
          <w:lang w:eastAsia="ar-SA"/>
        </w:rPr>
        <w:t>C</w:t>
      </w:r>
      <w:r w:rsidRPr="00010AA6">
        <w:rPr>
          <w:rFonts w:eastAsia="Times New Roman"/>
          <w:color w:val="000000"/>
          <w:sz w:val="22"/>
          <w:szCs w:val="22"/>
          <w:lang w:eastAsia="ar-SA"/>
        </w:rPr>
        <w:t xml:space="preserve"> – offerta economica), in seduta pubblica e, sulla base della documentazione contenuta nelle offerte presentate, provvederà a verificare la correttezza formale delle stesse e della documentazione ed in caso negativo ad escludere dalla procedura comparativa i concorrenti cui esse si riferiscono.</w:t>
      </w:r>
    </w:p>
    <w:p w14:paraId="5FCDCA12" w14:textId="77777777" w:rsidR="003C40D2" w:rsidRDefault="003C40D2" w:rsidP="00356323">
      <w:pPr>
        <w:widowControl w:val="0"/>
        <w:suppressAutoHyphens/>
        <w:autoSpaceDE w:val="0"/>
        <w:autoSpaceDN w:val="0"/>
        <w:adjustRightInd w:val="0"/>
        <w:spacing w:before="30" w:line="276" w:lineRule="auto"/>
        <w:jc w:val="both"/>
        <w:rPr>
          <w:rFonts w:eastAsia="Times New Roman"/>
          <w:color w:val="000000"/>
          <w:sz w:val="22"/>
          <w:szCs w:val="22"/>
          <w:lang w:eastAsia="ar-SA"/>
        </w:rPr>
      </w:pPr>
      <w:r>
        <w:rPr>
          <w:rFonts w:eastAsia="Times New Roman"/>
          <w:color w:val="000000"/>
          <w:sz w:val="22"/>
          <w:szCs w:val="22"/>
          <w:lang w:eastAsia="ar-SA"/>
        </w:rPr>
        <w:t>Nella medesima seduta</w:t>
      </w:r>
      <w:r w:rsidRPr="003C40D2">
        <w:rPr>
          <w:rFonts w:eastAsia="Times New Roman"/>
          <w:color w:val="000000"/>
          <w:sz w:val="22"/>
          <w:szCs w:val="22"/>
          <w:lang w:eastAsia="ar-SA"/>
        </w:rPr>
        <w:t xml:space="preserve">, procederà all’apertura delle buste “B – Offerta tecnica”, verificandone la completezza e regolarità; in seduta riservata, da svolgersi in continuità della predetta seduta pubblica, procederà all’esame delle offerte tecniche ai fini dell’attribuzione dei relativi punteggi, con possibilità di aggiornare la seduta ad altra data.  </w:t>
      </w:r>
    </w:p>
    <w:p w14:paraId="61A5C627" w14:textId="32E7077C" w:rsidR="003C40D2" w:rsidRDefault="003C40D2" w:rsidP="00356323">
      <w:pPr>
        <w:widowControl w:val="0"/>
        <w:suppressAutoHyphens/>
        <w:autoSpaceDE w:val="0"/>
        <w:autoSpaceDN w:val="0"/>
        <w:adjustRightInd w:val="0"/>
        <w:spacing w:before="30" w:line="276" w:lineRule="auto"/>
        <w:jc w:val="both"/>
        <w:rPr>
          <w:rFonts w:eastAsia="Times New Roman"/>
          <w:color w:val="000000"/>
          <w:sz w:val="22"/>
          <w:szCs w:val="22"/>
          <w:lang w:eastAsia="ar-SA"/>
        </w:rPr>
      </w:pPr>
      <w:r w:rsidRPr="003C40D2">
        <w:rPr>
          <w:rFonts w:eastAsia="Times New Roman"/>
          <w:color w:val="000000"/>
          <w:sz w:val="22"/>
          <w:szCs w:val="22"/>
          <w:lang w:eastAsia="ar-SA"/>
        </w:rPr>
        <w:t>In seduta pubblica la Commissione darà lettura dei punteggi attribuiti alle singole offerte tecniche e contestualmente aprirà le buste “C - Offerta economica”, dando lettura dei rialzi offerti</w:t>
      </w:r>
      <w:r>
        <w:rPr>
          <w:rFonts w:eastAsia="Times New Roman"/>
          <w:color w:val="000000"/>
          <w:sz w:val="22"/>
          <w:szCs w:val="22"/>
          <w:lang w:eastAsia="ar-SA"/>
        </w:rPr>
        <w:t xml:space="preserve"> e, in seduta riservata procederà  ad attribuire i punteggi secondo la disciplina recata nel presente atto.</w:t>
      </w:r>
    </w:p>
    <w:p w14:paraId="63F595DC" w14:textId="7ED179B3" w:rsidR="003C40D2" w:rsidRPr="003C40D2" w:rsidRDefault="003C40D2" w:rsidP="003C40D2">
      <w:pPr>
        <w:widowControl w:val="0"/>
        <w:suppressAutoHyphens/>
        <w:autoSpaceDE w:val="0"/>
        <w:autoSpaceDN w:val="0"/>
        <w:adjustRightInd w:val="0"/>
        <w:spacing w:before="30" w:line="276" w:lineRule="auto"/>
        <w:jc w:val="both"/>
        <w:rPr>
          <w:rFonts w:eastAsia="Times New Roman"/>
          <w:color w:val="000000"/>
          <w:sz w:val="22"/>
          <w:szCs w:val="22"/>
          <w:lang w:eastAsia="ar-SA"/>
        </w:rPr>
      </w:pPr>
      <w:r w:rsidRPr="003C40D2">
        <w:rPr>
          <w:rFonts w:eastAsia="Times New Roman"/>
          <w:color w:val="000000"/>
          <w:sz w:val="22"/>
          <w:szCs w:val="22"/>
          <w:lang w:eastAsia="ar-SA"/>
        </w:rPr>
        <w:t xml:space="preserve">La Commissione procederà quindi alla compilazione della graduatoria e, in seduta pubblica, alla formulazione della proposta di aggiudicazione in favore del concorrente che ha presentato la migliore offerta. Con tale adempimento la commissione chiude le operazioni di gara e trasmette al Responsabile del Procedimento tutti gli atti e documenti ai fini dei successivi adempimenti. </w:t>
      </w:r>
    </w:p>
    <w:p w14:paraId="5F82FE99" w14:textId="77777777" w:rsidR="003C40D2" w:rsidRPr="003C40D2" w:rsidRDefault="003C40D2" w:rsidP="003C40D2">
      <w:pPr>
        <w:widowControl w:val="0"/>
        <w:suppressAutoHyphens/>
        <w:autoSpaceDE w:val="0"/>
        <w:autoSpaceDN w:val="0"/>
        <w:adjustRightInd w:val="0"/>
        <w:spacing w:before="30" w:line="276" w:lineRule="auto"/>
        <w:jc w:val="both"/>
        <w:rPr>
          <w:rFonts w:eastAsia="Times New Roman"/>
          <w:color w:val="000000"/>
          <w:sz w:val="22"/>
          <w:szCs w:val="22"/>
          <w:lang w:eastAsia="ar-SA"/>
        </w:rPr>
      </w:pPr>
    </w:p>
    <w:p w14:paraId="29E5770E" w14:textId="6416F7B6" w:rsidR="006516D1" w:rsidRPr="00010AA6" w:rsidRDefault="003C40D2" w:rsidP="003C40D2">
      <w:pPr>
        <w:widowControl w:val="0"/>
        <w:suppressAutoHyphens/>
        <w:autoSpaceDE w:val="0"/>
        <w:autoSpaceDN w:val="0"/>
        <w:adjustRightInd w:val="0"/>
        <w:spacing w:before="30" w:line="276" w:lineRule="auto"/>
        <w:jc w:val="both"/>
        <w:rPr>
          <w:rFonts w:eastAsia="Times New Roman"/>
          <w:color w:val="000000"/>
          <w:sz w:val="22"/>
          <w:szCs w:val="22"/>
          <w:lang w:eastAsia="ar-SA"/>
        </w:rPr>
      </w:pPr>
      <w:r w:rsidRPr="003C40D2">
        <w:rPr>
          <w:rFonts w:eastAsia="Times New Roman"/>
          <w:color w:val="000000"/>
          <w:sz w:val="22"/>
          <w:szCs w:val="22"/>
          <w:lang w:eastAsia="ar-SA"/>
        </w:rPr>
        <w:t xml:space="preserve">La verifica circa la sussistenza dei requisiti dichiarati verrà effettuata nei confronti del soggetto aggiudicatario e prima della stipula dell’atto di concessione. </w:t>
      </w:r>
    </w:p>
    <w:p w14:paraId="62C954E8" w14:textId="77777777" w:rsidR="002630F0" w:rsidRPr="00010AA6" w:rsidRDefault="002630F0" w:rsidP="00356323">
      <w:pPr>
        <w:widowControl w:val="0"/>
        <w:suppressAutoHyphens/>
        <w:autoSpaceDE w:val="0"/>
        <w:autoSpaceDN w:val="0"/>
        <w:adjustRightInd w:val="0"/>
        <w:spacing w:before="30" w:line="276" w:lineRule="auto"/>
        <w:jc w:val="both"/>
        <w:rPr>
          <w:rFonts w:eastAsia="Times New Roman"/>
          <w:color w:val="000000"/>
          <w:sz w:val="22"/>
          <w:szCs w:val="22"/>
          <w:lang w:eastAsia="ar-SA"/>
        </w:rPr>
      </w:pPr>
    </w:p>
    <w:p w14:paraId="0E3A6029" w14:textId="77777777" w:rsidR="008D3B44" w:rsidRPr="00010AA6" w:rsidRDefault="008D3B44" w:rsidP="00356323">
      <w:pPr>
        <w:suppressAutoHyphens/>
        <w:spacing w:before="30" w:line="276" w:lineRule="auto"/>
        <w:jc w:val="center"/>
        <w:rPr>
          <w:rFonts w:eastAsia="Times New Roman"/>
          <w:b/>
          <w:color w:val="000000"/>
          <w:sz w:val="22"/>
          <w:szCs w:val="22"/>
          <w:lang w:eastAsia="ar-SA"/>
        </w:rPr>
      </w:pPr>
      <w:r w:rsidRPr="00010AA6">
        <w:rPr>
          <w:rFonts w:eastAsia="Times New Roman"/>
          <w:b/>
          <w:color w:val="000000"/>
          <w:sz w:val="22"/>
          <w:szCs w:val="22"/>
          <w:lang w:eastAsia="ar-SA"/>
        </w:rPr>
        <w:lastRenderedPageBreak/>
        <w:t>ADEMPIMENTI SUCCESSIVI OBBLIGATORI AL FINE DEL RILASCIO DELLA CONCESSIONE E PER LA SUA ESECUZIONE</w:t>
      </w:r>
    </w:p>
    <w:p w14:paraId="7087BBD0" w14:textId="77777777" w:rsidR="008D3B44" w:rsidRPr="00010AA6" w:rsidRDefault="008D3B44" w:rsidP="00356323">
      <w:pPr>
        <w:suppressAutoHyphens/>
        <w:spacing w:before="30" w:line="276" w:lineRule="auto"/>
        <w:jc w:val="center"/>
        <w:rPr>
          <w:rFonts w:eastAsia="Times New Roman"/>
          <w:b/>
          <w:color w:val="000000"/>
          <w:sz w:val="22"/>
          <w:szCs w:val="22"/>
          <w:lang w:eastAsia="ar-SA"/>
        </w:rPr>
      </w:pPr>
    </w:p>
    <w:p w14:paraId="223D203D" w14:textId="77777777" w:rsidR="008D3B44" w:rsidRPr="00010AA6" w:rsidRDefault="008D3B44" w:rsidP="00356323">
      <w:pPr>
        <w:suppressAutoHyphens/>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Il soggetto aggiudicatario della procedura, per ottenere il rilascio del titolo concessorio, dovrà in via preventiva assolvere gli obblighi previsti dal vigente Regolamento per la gestione del Demanio e in particolare quelli di seguito elencati, nei termini che saranno stabiliti dall’Autorità concedente e, una volta ottenuta la concessione, dovrà svolgere l'attività indicata in sede di partecipazione alla </w:t>
      </w:r>
      <w:r w:rsidRPr="00010AA6">
        <w:rPr>
          <w:noProof/>
          <w:color w:val="000000"/>
          <w:sz w:val="22"/>
          <w:szCs w:val="22"/>
          <w:lang w:eastAsia="it-IT"/>
        </w:rPr>
        <w:t xml:space="preserve">procedura comparativa </w:t>
      </w:r>
      <w:r w:rsidRPr="00010AA6">
        <w:rPr>
          <w:rFonts w:eastAsia="Times New Roman"/>
          <w:color w:val="000000"/>
          <w:sz w:val="22"/>
          <w:szCs w:val="22"/>
          <w:lang w:eastAsia="ar-SA"/>
        </w:rPr>
        <w:t>nel rispetto anche di quanto nel prosieguo del presente documento indicato.</w:t>
      </w:r>
    </w:p>
    <w:p w14:paraId="1E0A7970" w14:textId="77777777" w:rsidR="008D3B44" w:rsidRPr="00010AA6" w:rsidRDefault="008D3B44" w:rsidP="00356323">
      <w:pPr>
        <w:suppressAutoHyphens/>
        <w:spacing w:before="30" w:line="276" w:lineRule="auto"/>
        <w:jc w:val="both"/>
        <w:rPr>
          <w:rFonts w:eastAsia="Times New Roman"/>
          <w:color w:val="000000"/>
          <w:sz w:val="22"/>
          <w:szCs w:val="22"/>
          <w:lang w:eastAsia="ar-SA"/>
        </w:rPr>
      </w:pPr>
      <w:r w:rsidRPr="00010AA6">
        <w:rPr>
          <w:rFonts w:eastAsia="Times New Roman"/>
          <w:color w:val="000000"/>
          <w:sz w:val="22"/>
          <w:szCs w:val="22"/>
          <w:lang w:eastAsia="ar-SA"/>
        </w:rPr>
        <w:t>L’aggiudicatario dovrà depositare presso l’Autorità concedente:</w:t>
      </w:r>
    </w:p>
    <w:p w14:paraId="12E176C9" w14:textId="77777777" w:rsidR="008D3B44" w:rsidRPr="00010AA6" w:rsidRDefault="008D3B44" w:rsidP="00356323">
      <w:pPr>
        <w:numPr>
          <w:ilvl w:val="0"/>
          <w:numId w:val="5"/>
        </w:numPr>
        <w:spacing w:before="30" w:line="276" w:lineRule="auto"/>
        <w:contextualSpacing/>
        <w:jc w:val="both"/>
        <w:rPr>
          <w:color w:val="000000"/>
          <w:sz w:val="22"/>
          <w:szCs w:val="22"/>
        </w:rPr>
      </w:pPr>
      <w:r w:rsidRPr="00010AA6">
        <w:rPr>
          <w:rFonts w:eastAsia="Times New Roman"/>
          <w:color w:val="000000"/>
          <w:sz w:val="22"/>
          <w:szCs w:val="22"/>
          <w:lang w:eastAsia="ar-SA"/>
        </w:rPr>
        <w:t>contratto assicurativo R.C.T. – R.C.O., con massimale che sarà stabilito dall’Autorità e comunque non inferiore ad € 1.000.000 unico, valido per tutta la durata della concessione stessa, che garantisca persone e cose da tutti gli eventuali danni derivanti da, o connessi con, l’esercizio dell’attività per cui è richiesta la concessione e/o estensione al bene della polizza esistente;</w:t>
      </w:r>
    </w:p>
    <w:p w14:paraId="6E96C03A" w14:textId="11FA77EB" w:rsidR="008D3B44" w:rsidRPr="00C21FCB" w:rsidRDefault="008D3B44" w:rsidP="00356323">
      <w:pPr>
        <w:numPr>
          <w:ilvl w:val="0"/>
          <w:numId w:val="5"/>
        </w:numPr>
        <w:spacing w:before="30" w:line="276" w:lineRule="auto"/>
        <w:contextualSpacing/>
        <w:jc w:val="both"/>
        <w:rPr>
          <w:color w:val="000000"/>
          <w:sz w:val="22"/>
          <w:szCs w:val="22"/>
        </w:rPr>
      </w:pPr>
      <w:r w:rsidRPr="00C21FCB">
        <w:rPr>
          <w:rFonts w:eastAsia="Times New Roman"/>
          <w:color w:val="000000"/>
          <w:sz w:val="22"/>
          <w:szCs w:val="22"/>
          <w:lang w:eastAsia="ar-SA"/>
        </w:rPr>
        <w:t>polizza assicurativa</w:t>
      </w:r>
      <w:r w:rsidR="00C21FCB" w:rsidRPr="00C21FCB">
        <w:rPr>
          <w:rFonts w:eastAsia="Times New Roman"/>
          <w:color w:val="000000"/>
          <w:sz w:val="22"/>
          <w:szCs w:val="22"/>
          <w:lang w:eastAsia="ar-SA"/>
        </w:rPr>
        <w:t xml:space="preserve"> All Risk anche </w:t>
      </w:r>
      <w:r w:rsidRPr="00C21FCB">
        <w:rPr>
          <w:rFonts w:eastAsia="Times New Roman"/>
          <w:color w:val="000000"/>
          <w:sz w:val="22"/>
          <w:szCs w:val="22"/>
          <w:lang w:eastAsia="ar-SA"/>
        </w:rPr>
        <w:t xml:space="preserve"> per incendio, fulmine, scoppio, comprensiva di partita “ricorso terzi”, vincolata a favore della Autorità di Sistema Portuale del Mare Adriatico Centrale, con massimali che saranno stabiliti da questa Autorità;</w:t>
      </w:r>
    </w:p>
    <w:p w14:paraId="28596EA7" w14:textId="4E60FB98" w:rsidR="008D3B44" w:rsidRPr="00105882" w:rsidRDefault="008D3B44" w:rsidP="00356323">
      <w:pPr>
        <w:numPr>
          <w:ilvl w:val="0"/>
          <w:numId w:val="5"/>
        </w:numPr>
        <w:spacing w:before="30" w:line="276" w:lineRule="auto"/>
        <w:contextualSpacing/>
        <w:jc w:val="both"/>
        <w:rPr>
          <w:color w:val="000000"/>
          <w:sz w:val="22"/>
          <w:szCs w:val="22"/>
        </w:rPr>
      </w:pPr>
      <w:r w:rsidRPr="00010AA6">
        <w:rPr>
          <w:color w:val="000000"/>
          <w:sz w:val="22"/>
          <w:szCs w:val="22"/>
        </w:rPr>
        <w:t xml:space="preserve">cauzione, di importo pari a almeno </w:t>
      </w:r>
      <w:r w:rsidR="00361BFD" w:rsidRPr="00010AA6">
        <w:rPr>
          <w:color w:val="000000"/>
          <w:sz w:val="22"/>
          <w:szCs w:val="22"/>
        </w:rPr>
        <w:t>2,20 volte</w:t>
      </w:r>
      <w:r w:rsidRPr="00010AA6">
        <w:rPr>
          <w:color w:val="000000"/>
          <w:sz w:val="22"/>
          <w:szCs w:val="22"/>
        </w:rPr>
        <w:t xml:space="preserve"> </w:t>
      </w:r>
      <w:r w:rsidR="00361BFD" w:rsidRPr="00010AA6">
        <w:rPr>
          <w:color w:val="000000"/>
          <w:sz w:val="22"/>
          <w:szCs w:val="22"/>
        </w:rPr>
        <w:t>il</w:t>
      </w:r>
      <w:r w:rsidRPr="00010AA6">
        <w:rPr>
          <w:color w:val="000000"/>
          <w:sz w:val="22"/>
          <w:szCs w:val="22"/>
        </w:rPr>
        <w:t xml:space="preserve"> canone risultante</w:t>
      </w:r>
      <w:r w:rsidRPr="00010AA6">
        <w:rPr>
          <w:rFonts w:eastAsia="Times New Roman"/>
          <w:color w:val="000000"/>
          <w:sz w:val="22"/>
          <w:szCs w:val="22"/>
          <w:lang w:eastAsia="it-IT"/>
        </w:rPr>
        <w:t xml:space="preserve"> dall’offerta economica prodotta (arrotondato per eccesso al migliaio di euro superiore)</w:t>
      </w:r>
      <w:r w:rsidRPr="00010AA6">
        <w:rPr>
          <w:color w:val="000000"/>
          <w:sz w:val="22"/>
          <w:szCs w:val="22"/>
        </w:rPr>
        <w:t xml:space="preserve">, che potrà essere corrisposta in numerario o a mezzo fidejussione bancaria, o polizza assicurativa fidejussoria, a garanzia del pagamento dei canoni demaniali, e di eventuali penali e/o interessi di mora, e comunque dell’adempimento di tutti gli obblighi derivanti dalla concessione, nonché </w:t>
      </w:r>
      <w:r w:rsidRPr="00010AA6">
        <w:rPr>
          <w:rFonts w:eastAsia="Times New Roman"/>
          <w:color w:val="000000"/>
          <w:sz w:val="22"/>
          <w:szCs w:val="22"/>
          <w:lang w:eastAsia="it-IT"/>
        </w:rPr>
        <w:t>a tutela dell’integrità del bene demaniale e della sua riconsegna in pristino stato</w:t>
      </w:r>
      <w:r w:rsidRPr="00010AA6">
        <w:rPr>
          <w:color w:val="000000"/>
          <w:sz w:val="22"/>
          <w:szCs w:val="22"/>
        </w:rPr>
        <w:t xml:space="preserve">. </w:t>
      </w:r>
      <w:r w:rsidRPr="00010AA6">
        <w:rPr>
          <w:rFonts w:eastAsia="Times New Roman"/>
          <w:color w:val="000000"/>
          <w:sz w:val="22"/>
          <w:szCs w:val="22"/>
          <w:lang w:eastAsia="it-IT"/>
        </w:rPr>
        <w:t>In caso di prestazione della cauzione con fidejussione bancaria o polizza fidejussoria, espresso impegno a provvedere, in caso di revoca o mancato rinnovo della stessa, alla costituzione - a pena di decadenza della concessione - della cauzione in numerario o in Titoli dello Stato o garantiti dallo Stato;</w:t>
      </w:r>
    </w:p>
    <w:p w14:paraId="355D3822" w14:textId="1C05C1EA" w:rsidR="00105882" w:rsidRPr="00C94030" w:rsidRDefault="00105882" w:rsidP="00356323">
      <w:pPr>
        <w:numPr>
          <w:ilvl w:val="0"/>
          <w:numId w:val="5"/>
        </w:numPr>
        <w:spacing w:before="30" w:line="276" w:lineRule="auto"/>
        <w:contextualSpacing/>
        <w:jc w:val="both"/>
        <w:rPr>
          <w:color w:val="000000"/>
          <w:sz w:val="22"/>
          <w:szCs w:val="22"/>
        </w:rPr>
      </w:pPr>
      <w:r w:rsidRPr="00C94030">
        <w:rPr>
          <w:rFonts w:eastAsia="Times New Roman"/>
          <w:color w:val="000000"/>
          <w:sz w:val="22"/>
          <w:szCs w:val="22"/>
          <w:lang w:eastAsia="it-IT"/>
        </w:rPr>
        <w:t>modello sid D1 in .xml e in .pdf;</w:t>
      </w:r>
    </w:p>
    <w:p w14:paraId="09F6C0A2" w14:textId="77777777" w:rsidR="008D3B44" w:rsidRPr="00010AA6" w:rsidRDefault="008D3B44" w:rsidP="00356323">
      <w:pPr>
        <w:numPr>
          <w:ilvl w:val="0"/>
          <w:numId w:val="5"/>
        </w:numPr>
        <w:spacing w:before="30" w:line="276" w:lineRule="auto"/>
        <w:contextualSpacing/>
        <w:jc w:val="both"/>
        <w:rPr>
          <w:color w:val="000000"/>
          <w:sz w:val="22"/>
          <w:szCs w:val="22"/>
        </w:rPr>
      </w:pPr>
      <w:r w:rsidRPr="00010AA6">
        <w:rPr>
          <w:rFonts w:eastAsia="Times New Roman"/>
          <w:color w:val="000000"/>
          <w:sz w:val="22"/>
          <w:szCs w:val="22"/>
          <w:lang w:eastAsia="it-IT"/>
        </w:rPr>
        <w:t>attestazione di versamento mediante il sistema PagoPA del canone risultante dall’offerta presentata dall’aggiudicatario;</w:t>
      </w:r>
    </w:p>
    <w:p w14:paraId="5A48B0A9" w14:textId="03980B70" w:rsidR="008D3B44" w:rsidRPr="00010AA6" w:rsidRDefault="008D3B44" w:rsidP="00356323">
      <w:pPr>
        <w:numPr>
          <w:ilvl w:val="0"/>
          <w:numId w:val="5"/>
        </w:numPr>
        <w:spacing w:before="30" w:line="276" w:lineRule="auto"/>
        <w:contextualSpacing/>
        <w:jc w:val="both"/>
        <w:rPr>
          <w:rFonts w:eastAsia="Times New Roman"/>
          <w:color w:val="000000"/>
          <w:sz w:val="22"/>
          <w:szCs w:val="22"/>
          <w:lang w:eastAsia="it-IT"/>
        </w:rPr>
      </w:pPr>
      <w:r w:rsidRPr="00010AA6">
        <w:rPr>
          <w:rFonts w:eastAsia="Times New Roman"/>
          <w:color w:val="000000"/>
          <w:sz w:val="22"/>
          <w:szCs w:val="22"/>
          <w:lang w:eastAsia="it-IT"/>
        </w:rPr>
        <w:t>comunicazione</w:t>
      </w:r>
      <w:r w:rsidR="002630F0" w:rsidRPr="00010AA6">
        <w:rPr>
          <w:rFonts w:eastAsia="Times New Roman"/>
          <w:color w:val="000000"/>
          <w:sz w:val="22"/>
          <w:szCs w:val="22"/>
          <w:lang w:eastAsia="it-IT"/>
        </w:rPr>
        <w:t>, ovvero richiesta di autorizzazione,</w:t>
      </w:r>
      <w:r w:rsidRPr="00010AA6">
        <w:rPr>
          <w:rFonts w:eastAsia="Times New Roman"/>
          <w:color w:val="000000"/>
          <w:sz w:val="22"/>
          <w:szCs w:val="22"/>
          <w:lang w:eastAsia="it-IT"/>
        </w:rPr>
        <w:t xml:space="preserve"> alla Agenzia delle Dogane di </w:t>
      </w:r>
      <w:r w:rsidR="008B13FD" w:rsidRPr="00010AA6">
        <w:rPr>
          <w:rFonts w:eastAsia="Times New Roman"/>
          <w:color w:val="000000"/>
          <w:sz w:val="22"/>
          <w:szCs w:val="22"/>
          <w:lang w:eastAsia="it-IT"/>
        </w:rPr>
        <w:t xml:space="preserve">Ancona </w:t>
      </w:r>
      <w:r w:rsidRPr="00010AA6">
        <w:rPr>
          <w:rFonts w:eastAsia="Times New Roman"/>
          <w:color w:val="000000"/>
          <w:sz w:val="22"/>
          <w:szCs w:val="22"/>
          <w:lang w:eastAsia="it-IT"/>
        </w:rPr>
        <w:t xml:space="preserve">– art. </w:t>
      </w:r>
      <w:r w:rsidR="00231C6D" w:rsidRPr="00010AA6">
        <w:rPr>
          <w:rFonts w:eastAsia="Times New Roman"/>
          <w:color w:val="000000"/>
          <w:sz w:val="22"/>
          <w:szCs w:val="22"/>
          <w:lang w:eastAsia="it-IT"/>
        </w:rPr>
        <w:t>7</w:t>
      </w:r>
      <w:r w:rsidRPr="00010AA6">
        <w:rPr>
          <w:rFonts w:eastAsia="Times New Roman"/>
          <w:color w:val="000000"/>
          <w:sz w:val="22"/>
          <w:szCs w:val="22"/>
          <w:lang w:eastAsia="it-IT"/>
        </w:rPr>
        <w:t xml:space="preserve"> </w:t>
      </w:r>
      <w:r w:rsidR="00254F1A">
        <w:rPr>
          <w:rFonts w:eastAsia="Times New Roman"/>
          <w:color w:val="000000"/>
          <w:sz w:val="22"/>
          <w:szCs w:val="22"/>
          <w:lang w:eastAsia="it-IT"/>
        </w:rPr>
        <w:t xml:space="preserve">Allegato 1 </w:t>
      </w:r>
      <w:r w:rsidRPr="00010AA6">
        <w:rPr>
          <w:rFonts w:eastAsia="Times New Roman"/>
          <w:color w:val="000000"/>
          <w:sz w:val="22"/>
          <w:szCs w:val="22"/>
          <w:lang w:eastAsia="it-IT"/>
        </w:rPr>
        <w:t xml:space="preserve">del D.Lgs. </w:t>
      </w:r>
      <w:r w:rsidR="00231C6D" w:rsidRPr="00010AA6">
        <w:rPr>
          <w:rFonts w:eastAsia="Times New Roman"/>
          <w:color w:val="000000"/>
          <w:sz w:val="22"/>
          <w:szCs w:val="22"/>
          <w:lang w:eastAsia="it-IT"/>
        </w:rPr>
        <w:t>141/2024</w:t>
      </w:r>
      <w:r w:rsidRPr="00010AA6">
        <w:rPr>
          <w:rFonts w:eastAsia="Times New Roman"/>
          <w:color w:val="000000"/>
          <w:sz w:val="22"/>
          <w:szCs w:val="22"/>
          <w:lang w:eastAsia="it-IT"/>
        </w:rPr>
        <w:t xml:space="preserve"> - allegando gli elaborati tecnici recanti la configurazione planimetrica dell</w:t>
      </w:r>
      <w:r w:rsidR="008B13FD" w:rsidRPr="00010AA6">
        <w:rPr>
          <w:rFonts w:eastAsia="Times New Roman"/>
          <w:color w:val="000000"/>
          <w:sz w:val="22"/>
          <w:szCs w:val="22"/>
          <w:lang w:eastAsia="it-IT"/>
        </w:rPr>
        <w:t>’oggetto della concessione</w:t>
      </w:r>
      <w:r w:rsidR="002630F0" w:rsidRPr="00010AA6">
        <w:rPr>
          <w:rFonts w:eastAsia="Times New Roman"/>
          <w:color w:val="000000"/>
          <w:sz w:val="22"/>
          <w:szCs w:val="22"/>
          <w:lang w:eastAsia="it-IT"/>
        </w:rPr>
        <w:t>.</w:t>
      </w:r>
    </w:p>
    <w:p w14:paraId="3C489600" w14:textId="028BD2DC" w:rsidR="003C40D2" w:rsidRPr="00C21FCB" w:rsidRDefault="003C40D2" w:rsidP="00356323">
      <w:pPr>
        <w:numPr>
          <w:ilvl w:val="0"/>
          <w:numId w:val="5"/>
        </w:numPr>
        <w:spacing w:before="30" w:line="276" w:lineRule="auto"/>
        <w:contextualSpacing/>
        <w:jc w:val="both"/>
        <w:rPr>
          <w:rFonts w:eastAsia="Times New Roman"/>
          <w:color w:val="000000"/>
          <w:sz w:val="22"/>
          <w:szCs w:val="22"/>
          <w:lang w:eastAsia="it-IT"/>
        </w:rPr>
      </w:pPr>
      <w:r w:rsidRPr="00C21FCB">
        <w:rPr>
          <w:rFonts w:eastAsia="Times New Roman"/>
          <w:color w:val="000000"/>
          <w:sz w:val="22"/>
          <w:szCs w:val="22"/>
          <w:lang w:eastAsia="it-IT"/>
        </w:rPr>
        <w:t xml:space="preserve">Nel caso di utilizzo della porzione di specchio acqueo ricompreso tra i pontili, ed eventualmente di quelli adiacenti allo scalo dovrà essere inviata la convenzione tra il soggetto aggiudicatario e il soggetto gestore del porto turistico </w:t>
      </w:r>
    </w:p>
    <w:p w14:paraId="31AE2ADF" w14:textId="66CC3704" w:rsidR="008D3B44" w:rsidRPr="00010AA6" w:rsidRDefault="008D3B44" w:rsidP="00356323">
      <w:pPr>
        <w:spacing w:before="30" w:line="276" w:lineRule="auto"/>
        <w:contextualSpacing/>
        <w:jc w:val="both"/>
        <w:rPr>
          <w:rFonts w:eastAsia="Times New Roman"/>
          <w:color w:val="000000"/>
          <w:sz w:val="22"/>
          <w:szCs w:val="22"/>
          <w:lang w:eastAsia="it-IT"/>
        </w:rPr>
      </w:pPr>
      <w:r w:rsidRPr="00C21FCB">
        <w:rPr>
          <w:rFonts w:eastAsia="Times New Roman"/>
          <w:color w:val="000000"/>
          <w:sz w:val="22"/>
          <w:szCs w:val="22"/>
          <w:lang w:eastAsia="it-IT"/>
        </w:rPr>
        <w:t>L’assicurazione di cui al punto b), e la cauzione di cui al punto c), se prestat</w:t>
      </w:r>
      <w:r w:rsidR="003C40D2" w:rsidRPr="00C21FCB">
        <w:rPr>
          <w:rFonts w:eastAsia="Times New Roman"/>
          <w:color w:val="000000"/>
          <w:sz w:val="22"/>
          <w:szCs w:val="22"/>
          <w:lang w:eastAsia="it-IT"/>
        </w:rPr>
        <w:t>a</w:t>
      </w:r>
      <w:r w:rsidRPr="00C21FCB">
        <w:rPr>
          <w:rFonts w:eastAsia="Times New Roman"/>
          <w:color w:val="000000"/>
          <w:sz w:val="22"/>
          <w:szCs w:val="22"/>
          <w:lang w:eastAsia="it-IT"/>
        </w:rPr>
        <w:t xml:space="preserve"> mediante fidejussione bancaria o polizza fidejussoria, dovr</w:t>
      </w:r>
      <w:r w:rsidR="003C40D2" w:rsidRPr="00C21FCB">
        <w:rPr>
          <w:rFonts w:eastAsia="Times New Roman"/>
          <w:color w:val="000000"/>
          <w:sz w:val="22"/>
          <w:szCs w:val="22"/>
          <w:lang w:eastAsia="it-IT"/>
        </w:rPr>
        <w:t>à</w:t>
      </w:r>
      <w:r w:rsidRPr="00C21FCB">
        <w:rPr>
          <w:rFonts w:eastAsia="Times New Roman"/>
          <w:color w:val="000000"/>
          <w:sz w:val="22"/>
          <w:szCs w:val="22"/>
          <w:lang w:eastAsia="it-IT"/>
        </w:rPr>
        <w:t xml:space="preserve"> rispettare le clausole contenute nei rispettivi fac simili allegati al vigente Regolamento di amministrazione del demanio all. 1  2 </w:t>
      </w:r>
      <w:r w:rsidR="00C21FCB">
        <w:rPr>
          <w:rFonts w:eastAsia="Times New Roman"/>
          <w:color w:val="000000"/>
          <w:sz w:val="22"/>
          <w:szCs w:val="22"/>
          <w:lang w:eastAsia="it-IT"/>
        </w:rPr>
        <w:t>e 3</w:t>
      </w:r>
      <w:r w:rsidRPr="00C21FCB">
        <w:rPr>
          <w:rFonts w:eastAsia="Times New Roman"/>
          <w:color w:val="000000"/>
          <w:sz w:val="22"/>
          <w:szCs w:val="22"/>
          <w:lang w:eastAsia="it-IT"/>
        </w:rPr>
        <w:t>).</w:t>
      </w:r>
    </w:p>
    <w:p w14:paraId="50FB373F" w14:textId="77777777" w:rsidR="006516D1" w:rsidRPr="00010AA6" w:rsidRDefault="006516D1" w:rsidP="00356323">
      <w:pPr>
        <w:spacing w:before="30" w:line="276" w:lineRule="auto"/>
        <w:contextualSpacing/>
        <w:jc w:val="both"/>
        <w:rPr>
          <w:rFonts w:eastAsia="Times New Roman"/>
          <w:color w:val="000000"/>
          <w:sz w:val="22"/>
          <w:szCs w:val="22"/>
          <w:lang w:eastAsia="it-IT"/>
        </w:rPr>
      </w:pPr>
    </w:p>
    <w:p w14:paraId="1D2ABC87" w14:textId="7E77B22C" w:rsidR="006516D1" w:rsidRPr="00010AA6" w:rsidRDefault="006516D1" w:rsidP="00356323">
      <w:pPr>
        <w:spacing w:before="30" w:line="276" w:lineRule="auto"/>
        <w:contextualSpacing/>
        <w:jc w:val="both"/>
        <w:rPr>
          <w:rFonts w:eastAsia="Times New Roman"/>
          <w:b/>
          <w:bCs/>
          <w:color w:val="000000"/>
          <w:sz w:val="22"/>
          <w:szCs w:val="22"/>
          <w:lang w:eastAsia="it-IT"/>
        </w:rPr>
      </w:pPr>
      <w:r w:rsidRPr="00010AA6">
        <w:rPr>
          <w:rFonts w:eastAsia="Times New Roman"/>
          <w:b/>
          <w:bCs/>
          <w:color w:val="000000"/>
          <w:sz w:val="22"/>
          <w:szCs w:val="22"/>
          <w:lang w:eastAsia="it-IT"/>
        </w:rPr>
        <w:t>OBBLIGHI:</w:t>
      </w:r>
    </w:p>
    <w:p w14:paraId="13F5C7D1" w14:textId="1419E22C" w:rsidR="006516D1" w:rsidRPr="00010AA6" w:rsidRDefault="006516D1" w:rsidP="00356323">
      <w:pPr>
        <w:spacing w:before="30" w:line="276" w:lineRule="auto"/>
        <w:contextualSpacing/>
        <w:jc w:val="both"/>
        <w:rPr>
          <w:rFonts w:eastAsia="Times New Roman"/>
          <w:color w:val="000000"/>
          <w:sz w:val="22"/>
          <w:szCs w:val="22"/>
          <w:lang w:eastAsia="it-IT"/>
        </w:rPr>
      </w:pPr>
      <w:r w:rsidRPr="00010AA6">
        <w:rPr>
          <w:rFonts w:eastAsia="Times New Roman"/>
          <w:color w:val="000000"/>
          <w:sz w:val="22"/>
          <w:szCs w:val="22"/>
          <w:lang w:eastAsia="it-IT"/>
        </w:rPr>
        <w:lastRenderedPageBreak/>
        <w:t>Sono posti a carico del concessionario i seguenti obblighi il cui mancato adempimento è causa di avvio del procedimento di decadenza ai sensi dell’art. 47 Cod. Nav.:</w:t>
      </w:r>
    </w:p>
    <w:p w14:paraId="50D6ACE2" w14:textId="77777777" w:rsidR="006516D1" w:rsidRPr="00010AA6" w:rsidRDefault="006516D1" w:rsidP="00356323">
      <w:pPr>
        <w:spacing w:before="30" w:line="276" w:lineRule="auto"/>
        <w:contextualSpacing/>
        <w:jc w:val="both"/>
        <w:rPr>
          <w:rFonts w:eastAsia="Times New Roman"/>
          <w:color w:val="000000"/>
          <w:sz w:val="22"/>
          <w:szCs w:val="22"/>
          <w:lang w:eastAsia="it-IT"/>
        </w:rPr>
      </w:pPr>
    </w:p>
    <w:p w14:paraId="01AF80EF" w14:textId="5608D3C2" w:rsidR="008D3B44" w:rsidRPr="00010AA6" w:rsidRDefault="008D3B44" w:rsidP="00356323">
      <w:pPr>
        <w:spacing w:before="30" w:line="276" w:lineRule="auto"/>
        <w:contextualSpacing/>
        <w:jc w:val="both"/>
        <w:rPr>
          <w:rFonts w:eastAsia="Times New Roman"/>
          <w:color w:val="000000"/>
          <w:sz w:val="22"/>
          <w:szCs w:val="22"/>
          <w:lang w:eastAsia="ar-SA"/>
        </w:rPr>
      </w:pPr>
      <w:r w:rsidRPr="00010AA6">
        <w:rPr>
          <w:rFonts w:eastAsia="Times New Roman"/>
          <w:color w:val="000000"/>
          <w:sz w:val="22"/>
          <w:szCs w:val="22"/>
          <w:lang w:eastAsia="it-IT"/>
        </w:rPr>
        <w:t xml:space="preserve">Il </w:t>
      </w:r>
      <w:r w:rsidRPr="00010AA6">
        <w:rPr>
          <w:rFonts w:eastAsia="Times New Roman"/>
          <w:color w:val="000000"/>
          <w:sz w:val="22"/>
          <w:szCs w:val="22"/>
          <w:lang w:eastAsia="ar-SA"/>
        </w:rPr>
        <w:t xml:space="preserve">Concessionario dovrà essere sempre in regola con ogni autorizzazione prevista dalla normativa vigente da rilasciarsi da altre Amministrazioni per l’attività da svolgere, </w:t>
      </w:r>
      <w:r w:rsidR="00231C6D" w:rsidRPr="00010AA6">
        <w:rPr>
          <w:rFonts w:eastAsia="Times New Roman"/>
          <w:color w:val="000000"/>
          <w:sz w:val="22"/>
          <w:szCs w:val="22"/>
          <w:lang w:eastAsia="ar-SA"/>
        </w:rPr>
        <w:t>anche con</w:t>
      </w:r>
      <w:r w:rsidRPr="00010AA6">
        <w:rPr>
          <w:rFonts w:eastAsia="Times New Roman"/>
          <w:color w:val="000000"/>
          <w:sz w:val="22"/>
          <w:szCs w:val="22"/>
          <w:lang w:eastAsia="ar-SA"/>
        </w:rPr>
        <w:t xml:space="preserve"> riferimento a quelle relative alla salute e alla sicurezza sui luoghi di lavoro oltre che in materia sanitaria</w:t>
      </w:r>
      <w:r w:rsidR="00231C6D" w:rsidRPr="00010AA6">
        <w:rPr>
          <w:rFonts w:eastAsia="Times New Roman"/>
          <w:color w:val="000000"/>
          <w:sz w:val="22"/>
          <w:szCs w:val="22"/>
          <w:lang w:eastAsia="ar-SA"/>
        </w:rPr>
        <w:t xml:space="preserve"> ed ambientale</w:t>
      </w:r>
      <w:r w:rsidRPr="00010AA6">
        <w:rPr>
          <w:rFonts w:eastAsia="Times New Roman"/>
          <w:color w:val="000000"/>
          <w:sz w:val="22"/>
          <w:szCs w:val="22"/>
          <w:lang w:eastAsia="ar-SA"/>
        </w:rPr>
        <w:t>.</w:t>
      </w:r>
    </w:p>
    <w:p w14:paraId="44F21515" w14:textId="77777777" w:rsidR="008D3B44" w:rsidRDefault="008D3B44" w:rsidP="00356323">
      <w:pPr>
        <w:spacing w:before="30" w:line="276" w:lineRule="auto"/>
        <w:contextualSpacing/>
        <w:jc w:val="both"/>
        <w:rPr>
          <w:rFonts w:eastAsia="Times New Roman"/>
          <w:color w:val="000000"/>
          <w:sz w:val="22"/>
          <w:szCs w:val="22"/>
          <w:lang w:eastAsia="ar-SA"/>
        </w:rPr>
      </w:pPr>
      <w:r w:rsidRPr="00010AA6">
        <w:rPr>
          <w:rFonts w:eastAsia="Times New Roman"/>
          <w:color w:val="000000"/>
          <w:sz w:val="22"/>
          <w:szCs w:val="22"/>
          <w:lang w:eastAsia="ar-SA"/>
        </w:rPr>
        <w:t>Il Concessionario assume sin d’ora espressamente l’obbligo di manlevare l’Autorità da ogni responsabilità e tenerla indenne da ogni azione che possa essere intentata da terzi in dipendenza della propria attività ed inoltre da ogni richiesta di risarcimento di eventuali danni a cose e/o persone che possono verificarsi durante l’espletamento della propria attività e/o dei propri servizi.</w:t>
      </w:r>
    </w:p>
    <w:p w14:paraId="02C521B3" w14:textId="7FCDA6DA" w:rsidR="00A71402" w:rsidRDefault="00A71402" w:rsidP="00356323">
      <w:pPr>
        <w:spacing w:before="30" w:line="276" w:lineRule="auto"/>
        <w:contextualSpacing/>
        <w:jc w:val="both"/>
        <w:rPr>
          <w:rFonts w:eastAsia="Times New Roman"/>
          <w:color w:val="000000"/>
          <w:sz w:val="22"/>
          <w:szCs w:val="22"/>
          <w:lang w:eastAsia="ar-SA"/>
        </w:rPr>
      </w:pPr>
      <w:r>
        <w:rPr>
          <w:rFonts w:eastAsia="Times New Roman"/>
          <w:color w:val="000000"/>
          <w:sz w:val="22"/>
          <w:szCs w:val="22"/>
          <w:lang w:eastAsia="ar-SA"/>
        </w:rPr>
        <w:t>Il concessionario</w:t>
      </w:r>
      <w:r w:rsidRPr="00A71402">
        <w:t xml:space="preserve"> </w:t>
      </w:r>
      <w:r w:rsidRPr="00A71402">
        <w:rPr>
          <w:rFonts w:eastAsia="Times New Roman"/>
          <w:color w:val="000000"/>
          <w:sz w:val="22"/>
          <w:szCs w:val="22"/>
          <w:lang w:eastAsia="ar-SA"/>
        </w:rPr>
        <w:t>è obbligato</w:t>
      </w:r>
      <w:r>
        <w:t xml:space="preserve"> </w:t>
      </w:r>
      <w:r w:rsidRPr="00A71402">
        <w:rPr>
          <w:rFonts w:eastAsia="Times New Roman"/>
          <w:color w:val="000000"/>
          <w:sz w:val="22"/>
          <w:szCs w:val="22"/>
          <w:lang w:eastAsia="ar-SA"/>
        </w:rPr>
        <w:t>ad effettuare le necessarie manutenzioni ordinarie e straordinarie dei beni oggetto della concessione.</w:t>
      </w:r>
    </w:p>
    <w:p w14:paraId="5D369F6D" w14:textId="06887858" w:rsidR="00A71402" w:rsidRDefault="00A71402" w:rsidP="00356323">
      <w:pPr>
        <w:spacing w:before="30" w:line="276" w:lineRule="auto"/>
        <w:contextualSpacing/>
        <w:jc w:val="both"/>
        <w:rPr>
          <w:rFonts w:eastAsia="Times New Roman"/>
          <w:color w:val="000000"/>
          <w:sz w:val="22"/>
          <w:szCs w:val="22"/>
          <w:lang w:eastAsia="ar-SA"/>
        </w:rPr>
      </w:pPr>
      <w:r>
        <w:rPr>
          <w:rFonts w:eastAsia="Times New Roman"/>
          <w:color w:val="000000"/>
          <w:sz w:val="22"/>
          <w:szCs w:val="22"/>
          <w:lang w:eastAsia="ar-SA"/>
        </w:rPr>
        <w:t xml:space="preserve">Il concessionario è tenuto ad applicare le tariffe indicate nella presente procedura. In caso di applicazione di tariffe superiori sarà applicata una penale pari al </w:t>
      </w:r>
      <w:r w:rsidR="002A4246">
        <w:rPr>
          <w:rFonts w:eastAsia="Times New Roman"/>
          <w:color w:val="000000"/>
          <w:sz w:val="22"/>
          <w:szCs w:val="22"/>
          <w:lang w:eastAsia="ar-SA"/>
        </w:rPr>
        <w:t>5</w:t>
      </w:r>
      <w:r>
        <w:rPr>
          <w:rFonts w:eastAsia="Times New Roman"/>
          <w:color w:val="000000"/>
          <w:sz w:val="22"/>
          <w:szCs w:val="22"/>
          <w:lang w:eastAsia="ar-SA"/>
        </w:rPr>
        <w:t>0% del canone demaniale risultante dalla presente procedura.</w:t>
      </w:r>
    </w:p>
    <w:p w14:paraId="2D361AEB" w14:textId="77777777" w:rsidR="00A71402" w:rsidRDefault="00A71402" w:rsidP="00356323">
      <w:pPr>
        <w:spacing w:before="30" w:line="276" w:lineRule="auto"/>
        <w:contextualSpacing/>
        <w:jc w:val="both"/>
        <w:rPr>
          <w:rFonts w:eastAsia="Times New Roman"/>
          <w:color w:val="000000"/>
          <w:sz w:val="22"/>
          <w:szCs w:val="22"/>
          <w:lang w:eastAsia="ar-SA"/>
        </w:rPr>
      </w:pPr>
      <w:r w:rsidRPr="00A71402">
        <w:rPr>
          <w:rFonts w:eastAsia="Times New Roman"/>
          <w:color w:val="000000"/>
          <w:sz w:val="22"/>
          <w:szCs w:val="22"/>
          <w:lang w:eastAsia="ar-SA"/>
        </w:rPr>
        <w:t>A prescindere dalle penali applicate, resta ferma la facoltà dell’Autorità di Sistema Portuale del Mare Adriatico Centrale di dichiarare la decadenza della futura concessionaria qualora essa ravvisi, anche sulla base del mancato rispetto di quanto dichiarato in sede di procedura comparativa, il mancato proficuo utilizzo della concessione per gli scopi per cui è stata assentita, nei casi di cui all’art. 47 Cod. Nav.</w:t>
      </w:r>
    </w:p>
    <w:p w14:paraId="7BBB41E6" w14:textId="77777777" w:rsidR="00A71402" w:rsidRPr="00010AA6" w:rsidRDefault="00A71402" w:rsidP="00356323">
      <w:pPr>
        <w:spacing w:before="30" w:line="276" w:lineRule="auto"/>
        <w:contextualSpacing/>
        <w:jc w:val="both"/>
        <w:rPr>
          <w:rFonts w:eastAsia="Times New Roman"/>
          <w:color w:val="000000"/>
          <w:sz w:val="22"/>
          <w:szCs w:val="22"/>
          <w:lang w:eastAsia="ar-SA"/>
        </w:rPr>
      </w:pPr>
    </w:p>
    <w:p w14:paraId="161FB2AE" w14:textId="77777777" w:rsidR="008D3B44" w:rsidRPr="00010AA6" w:rsidRDefault="008D3B44" w:rsidP="00356323">
      <w:pPr>
        <w:suppressAutoHyphens/>
        <w:spacing w:before="30" w:line="276" w:lineRule="auto"/>
        <w:jc w:val="center"/>
        <w:rPr>
          <w:rFonts w:eastAsia="Times New Roman"/>
          <w:b/>
          <w:bCs/>
          <w:color w:val="000000"/>
          <w:sz w:val="22"/>
          <w:szCs w:val="22"/>
          <w:lang w:eastAsia="ar-SA"/>
        </w:rPr>
      </w:pPr>
    </w:p>
    <w:p w14:paraId="591684D7" w14:textId="77777777" w:rsidR="008D3B44" w:rsidRPr="00010AA6" w:rsidRDefault="008D3B44" w:rsidP="00356323">
      <w:pPr>
        <w:suppressAutoHyphens/>
        <w:spacing w:before="30" w:line="276" w:lineRule="auto"/>
        <w:jc w:val="center"/>
        <w:rPr>
          <w:rFonts w:eastAsia="Times New Roman"/>
          <w:color w:val="000000"/>
          <w:sz w:val="22"/>
          <w:szCs w:val="22"/>
          <w:lang w:eastAsia="ar-SA"/>
        </w:rPr>
      </w:pPr>
      <w:r w:rsidRPr="00010AA6">
        <w:rPr>
          <w:rFonts w:eastAsia="Times New Roman"/>
          <w:b/>
          <w:bCs/>
          <w:color w:val="000000"/>
          <w:sz w:val="22"/>
          <w:szCs w:val="22"/>
          <w:lang w:eastAsia="ar-SA"/>
        </w:rPr>
        <w:t>RESPONSABILE DEL PROCEDIMENTO</w:t>
      </w:r>
    </w:p>
    <w:p w14:paraId="4FF31ED2" w14:textId="77777777" w:rsidR="008D3B44" w:rsidRPr="00010AA6" w:rsidRDefault="008D3B44" w:rsidP="00356323">
      <w:pPr>
        <w:suppressAutoHyphens/>
        <w:spacing w:before="30" w:line="276" w:lineRule="auto"/>
        <w:jc w:val="both"/>
        <w:rPr>
          <w:rFonts w:eastAsia="Times New Roman"/>
          <w:color w:val="000000"/>
          <w:sz w:val="22"/>
          <w:szCs w:val="22"/>
          <w:lang w:eastAsia="ar-SA"/>
        </w:rPr>
      </w:pPr>
    </w:p>
    <w:p w14:paraId="3CF23BA6" w14:textId="482175DC" w:rsidR="008D3B44" w:rsidRPr="00010AA6" w:rsidRDefault="008D3B44" w:rsidP="00356323">
      <w:pPr>
        <w:spacing w:line="276" w:lineRule="auto"/>
        <w:rPr>
          <w:sz w:val="22"/>
          <w:szCs w:val="22"/>
        </w:rPr>
      </w:pPr>
      <w:r w:rsidRPr="00010AA6">
        <w:rPr>
          <w:rFonts w:eastAsia="Times New Roman"/>
          <w:color w:val="000000"/>
          <w:sz w:val="22"/>
          <w:szCs w:val="22"/>
          <w:lang w:eastAsia="ar-SA"/>
        </w:rPr>
        <w:t xml:space="preserve">Il Responsabile del procedimento è </w:t>
      </w:r>
      <w:r w:rsidR="000B3B1D">
        <w:rPr>
          <w:rFonts w:eastAsia="Times New Roman"/>
          <w:color w:val="000000"/>
          <w:sz w:val="22"/>
          <w:szCs w:val="22"/>
          <w:lang w:eastAsia="ar-SA"/>
        </w:rPr>
        <w:t>il Segretario generale dott. Salvatore Minervino</w:t>
      </w:r>
    </w:p>
    <w:p w14:paraId="33E73595" w14:textId="77777777" w:rsidR="008D3B44" w:rsidRPr="00010AA6" w:rsidRDefault="008D3B44" w:rsidP="00356323">
      <w:pPr>
        <w:suppressAutoHyphens/>
        <w:spacing w:before="30" w:line="276" w:lineRule="auto"/>
        <w:rPr>
          <w:rFonts w:eastAsia="Times New Roman"/>
          <w:color w:val="000000"/>
          <w:sz w:val="22"/>
          <w:szCs w:val="22"/>
          <w:lang w:eastAsia="ar-SA"/>
        </w:rPr>
      </w:pPr>
    </w:p>
    <w:p w14:paraId="47FF6CA5" w14:textId="77777777" w:rsidR="008D3B44" w:rsidRPr="00010AA6" w:rsidRDefault="008D3B44" w:rsidP="00356323">
      <w:pPr>
        <w:suppressAutoHyphens/>
        <w:spacing w:line="276" w:lineRule="auto"/>
        <w:jc w:val="center"/>
        <w:rPr>
          <w:rFonts w:eastAsia="Times New Roman"/>
          <w:b/>
          <w:color w:val="000000"/>
          <w:sz w:val="22"/>
          <w:szCs w:val="22"/>
          <w:lang w:eastAsia="ar-SA"/>
        </w:rPr>
      </w:pPr>
      <w:r w:rsidRPr="00010AA6">
        <w:rPr>
          <w:rFonts w:eastAsia="Times New Roman"/>
          <w:b/>
          <w:color w:val="000000"/>
          <w:sz w:val="22"/>
          <w:szCs w:val="22"/>
          <w:lang w:eastAsia="ar-SA"/>
        </w:rPr>
        <w:t>TRATTAMENTO DEI DATI PERSONALI</w:t>
      </w:r>
    </w:p>
    <w:p w14:paraId="25B3AF12" w14:textId="77777777" w:rsidR="005874CA" w:rsidRPr="00010AA6" w:rsidRDefault="005874CA" w:rsidP="00356323">
      <w:pPr>
        <w:suppressAutoHyphens/>
        <w:spacing w:line="276" w:lineRule="auto"/>
        <w:jc w:val="center"/>
        <w:rPr>
          <w:rFonts w:eastAsia="Times New Roman"/>
          <w:b/>
          <w:color w:val="000000"/>
          <w:sz w:val="22"/>
          <w:szCs w:val="22"/>
          <w:lang w:eastAsia="ar-SA"/>
        </w:rPr>
      </w:pPr>
    </w:p>
    <w:p w14:paraId="2CF7D5C7"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L’Autorità di Sistema portuale del Mare Adriatico Centrale in conformità al Regolamento 2016/679/UE (General Data Protection Regulation –GDPR) rende la seguente informativa sulle modalità di trattamento dei dati forniti, in sede di presentazione dell’offerta.</w:t>
      </w:r>
    </w:p>
    <w:p w14:paraId="3AD0F2FC"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Il Titolare del trattamento è l’Autorità di Sistema portuale del Mare Adriatico Centrale, con sede in Ancona, Molo Santa Maria s.n.c.</w:t>
      </w:r>
    </w:p>
    <w:p w14:paraId="7D067028" w14:textId="6CB2B405"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Il Responsabile della Protezione dei Dati è </w:t>
      </w:r>
      <w:r w:rsidR="0016094E" w:rsidRPr="00010AA6">
        <w:rPr>
          <w:rFonts w:eastAsia="Times New Roman"/>
          <w:color w:val="000000"/>
          <w:sz w:val="22"/>
          <w:szCs w:val="22"/>
          <w:lang w:eastAsia="ar-SA"/>
        </w:rPr>
        <w:t xml:space="preserve">l’Avv., Massimiliano Galeazzi </w:t>
      </w:r>
      <w:r w:rsidRPr="00010AA6">
        <w:rPr>
          <w:rFonts w:eastAsia="Times New Roman"/>
          <w:color w:val="000000"/>
          <w:sz w:val="22"/>
          <w:szCs w:val="22"/>
          <w:lang w:eastAsia="ar-SA"/>
        </w:rPr>
        <w:t xml:space="preserve">– casella email: </w:t>
      </w:r>
      <w:hyperlink r:id="rId11" w:history="1">
        <w:r w:rsidR="0016094E" w:rsidRPr="00010AA6">
          <w:rPr>
            <w:rStyle w:val="Collegamentoipertestuale"/>
            <w:rFonts w:eastAsia="Times New Roman"/>
            <w:sz w:val="22"/>
            <w:szCs w:val="22"/>
            <w:lang w:eastAsia="ar-SA"/>
          </w:rPr>
          <w:t>privac@porto.ancona.it</w:t>
        </w:r>
      </w:hyperlink>
      <w:r w:rsidR="0016094E" w:rsidRPr="00010AA6">
        <w:rPr>
          <w:rFonts w:eastAsia="Times New Roman"/>
          <w:color w:val="000000"/>
          <w:sz w:val="22"/>
          <w:szCs w:val="22"/>
          <w:lang w:eastAsia="ar-SA"/>
        </w:rPr>
        <w:t xml:space="preserve"> telefono: 071/2210265.</w:t>
      </w:r>
    </w:p>
    <w:p w14:paraId="7B099AB9"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La finalità del trattamento cui sono destinati i dati personali è la gestione della presente procedura comparativa, nonché il rilascio del pertinente titolo concessorio di che trattasi</w:t>
      </w:r>
    </w:p>
    <w:p w14:paraId="3A81B680"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La base giuridica del trattamento è l’art. 6 par. 1 lett. b) del Regolamento 2016/679/UE e le disposizioni del R. D. 30/03/1942 n. 327 (Codice della Navigazione) e del DPR 15/02/1952 n. 328 (Regolamento per l’Esecuzione del Codice della Navigazione)</w:t>
      </w:r>
    </w:p>
    <w:p w14:paraId="1D4319C1"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lastRenderedPageBreak/>
        <w:t>I dati potranno essere trattati inoltre a fini di archiviazione (protocollo e conservazione documentale) nonché, in forma aggregata, a fini statistici.</w:t>
      </w:r>
    </w:p>
    <w:p w14:paraId="323FBF01"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I dati saranno comunicati ad Autorità giudiziaria, Ministero dell’Interno/Prefetture, Agenzia delle entrate ed enti previdenziali e diffusi attraverso il sito istituzionale e sul sito Amministrazione Trasparente.</w:t>
      </w:r>
    </w:p>
    <w:p w14:paraId="528F648D" w14:textId="28AF69B4"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 xml:space="preserve">Restano salvi i divieti di diffusione e le limitazioni ai trattamenti stabiliti per particolari categorie di dati dall’art. 10 del GDPR. </w:t>
      </w:r>
      <w:r w:rsidR="00CA1462" w:rsidRPr="00010AA6">
        <w:rPr>
          <w:rFonts w:eastAsia="Times New Roman"/>
          <w:color w:val="000000"/>
          <w:sz w:val="22"/>
          <w:szCs w:val="22"/>
          <w:lang w:eastAsia="ar-SA"/>
        </w:rPr>
        <w:t>Il periodo di conservazione</w:t>
      </w:r>
      <w:r w:rsidRPr="00010AA6">
        <w:rPr>
          <w:rFonts w:eastAsia="Times New Roman"/>
          <w:color w:val="000000"/>
          <w:sz w:val="22"/>
          <w:szCs w:val="22"/>
          <w:lang w:eastAsia="ar-SA"/>
        </w:rPr>
        <w:t xml:space="preserve"> è pari ad anni 5 (cinque).</w:t>
      </w:r>
    </w:p>
    <w:p w14:paraId="6211513C"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Competono ai partecipanti le prerogative ed i diritti previsti dal Regolamento 2016/679/UE.</w:t>
      </w:r>
    </w:p>
    <w:p w14:paraId="4D6646BC" w14:textId="77777777" w:rsidR="008D3B44" w:rsidRPr="00010AA6" w:rsidRDefault="008D3B44" w:rsidP="00356323">
      <w:pPr>
        <w:suppressAutoHyphens/>
        <w:spacing w:line="276" w:lineRule="auto"/>
        <w:jc w:val="both"/>
        <w:rPr>
          <w:rFonts w:eastAsia="Times New Roman"/>
          <w:color w:val="000000"/>
          <w:sz w:val="22"/>
          <w:szCs w:val="22"/>
          <w:lang w:eastAsia="ar-SA"/>
        </w:rPr>
      </w:pPr>
      <w:r w:rsidRPr="00010AA6">
        <w:rPr>
          <w:rFonts w:eastAsia="Times New Roman"/>
          <w:color w:val="000000"/>
          <w:sz w:val="22"/>
          <w:szCs w:val="22"/>
          <w:lang w:eastAsia="ar-SA"/>
        </w:rPr>
        <w:t>Il conferimento dei dati discende da un obbligo legale ed è necessario per la conclusione del procedimento di che trattasi, pertanto, l’interessato ha l’obbligo di fornire i dati personali, pena l’impossibilità di partecipare alla presente procedura.</w:t>
      </w:r>
    </w:p>
    <w:p w14:paraId="4C83BC89" w14:textId="77777777" w:rsidR="008B13FD" w:rsidRPr="00010AA6" w:rsidRDefault="008B13FD" w:rsidP="00356323">
      <w:pPr>
        <w:suppressAutoHyphens/>
        <w:spacing w:before="30" w:line="276" w:lineRule="auto"/>
        <w:rPr>
          <w:rFonts w:eastAsia="Times New Roman"/>
          <w:color w:val="000000"/>
          <w:sz w:val="22"/>
          <w:szCs w:val="22"/>
          <w:lang w:eastAsia="ar-SA"/>
        </w:rPr>
      </w:pPr>
    </w:p>
    <w:p w14:paraId="67B46F43" w14:textId="12C76458" w:rsidR="008D3B44" w:rsidRPr="00010AA6" w:rsidRDefault="008D3B44" w:rsidP="00356323">
      <w:pPr>
        <w:suppressAutoHyphens/>
        <w:spacing w:before="30" w:line="276" w:lineRule="auto"/>
        <w:rPr>
          <w:rFonts w:eastAsia="Times New Roman"/>
          <w:color w:val="000000"/>
          <w:sz w:val="22"/>
          <w:szCs w:val="22"/>
          <w:lang w:eastAsia="ar-SA"/>
        </w:rPr>
      </w:pPr>
      <w:r w:rsidRPr="00226721">
        <w:rPr>
          <w:rFonts w:eastAsia="Times New Roman"/>
          <w:color w:val="000000"/>
          <w:sz w:val="22"/>
          <w:szCs w:val="22"/>
          <w:lang w:eastAsia="ar-SA"/>
        </w:rPr>
        <w:t xml:space="preserve">Ancona, il </w:t>
      </w:r>
      <w:r w:rsidR="00226721">
        <w:rPr>
          <w:rFonts w:eastAsia="Times New Roman"/>
          <w:color w:val="000000"/>
          <w:sz w:val="22"/>
          <w:szCs w:val="22"/>
          <w:lang w:eastAsia="ar-SA"/>
        </w:rPr>
        <w:t>18/09/2025</w:t>
      </w:r>
    </w:p>
    <w:p w14:paraId="7349EC82" w14:textId="77777777" w:rsidR="008D3B44" w:rsidRPr="00010AA6" w:rsidRDefault="008D3B44" w:rsidP="00356323">
      <w:pPr>
        <w:pStyle w:val="Standard"/>
        <w:spacing w:line="276" w:lineRule="auto"/>
        <w:jc w:val="both"/>
        <w:rPr>
          <w:b/>
          <w:sz w:val="22"/>
          <w:szCs w:val="22"/>
        </w:rPr>
      </w:pPr>
    </w:p>
    <w:p w14:paraId="432F8ACF" w14:textId="77777777" w:rsidR="00806BB9" w:rsidRPr="00010AA6" w:rsidRDefault="00806BB9" w:rsidP="00356323">
      <w:pPr>
        <w:pStyle w:val="Standard"/>
        <w:spacing w:line="276" w:lineRule="auto"/>
        <w:jc w:val="both"/>
        <w:rPr>
          <w:sz w:val="22"/>
          <w:szCs w:val="22"/>
        </w:rPr>
      </w:pPr>
    </w:p>
    <w:p w14:paraId="11ECF7D3" w14:textId="77777777" w:rsidR="00806BB9" w:rsidRPr="00010AA6" w:rsidRDefault="00806BB9" w:rsidP="00356323">
      <w:pPr>
        <w:spacing w:line="276" w:lineRule="auto"/>
        <w:ind w:left="3402"/>
        <w:jc w:val="center"/>
        <w:rPr>
          <w:b/>
          <w:sz w:val="22"/>
          <w:szCs w:val="22"/>
        </w:rPr>
      </w:pPr>
      <w:r w:rsidRPr="00010AA6">
        <w:rPr>
          <w:b/>
          <w:sz w:val="22"/>
          <w:szCs w:val="22"/>
        </w:rPr>
        <w:t>Il Presidente</w:t>
      </w:r>
    </w:p>
    <w:p w14:paraId="4AEC1E36" w14:textId="77777777" w:rsidR="00806BB9" w:rsidRPr="00010AA6" w:rsidRDefault="00806BB9" w:rsidP="00356323">
      <w:pPr>
        <w:spacing w:line="276" w:lineRule="auto"/>
        <w:ind w:left="3402"/>
        <w:jc w:val="center"/>
        <w:rPr>
          <w:b/>
          <w:sz w:val="22"/>
          <w:szCs w:val="22"/>
        </w:rPr>
      </w:pPr>
      <w:r w:rsidRPr="00010AA6">
        <w:rPr>
          <w:b/>
          <w:sz w:val="22"/>
          <w:szCs w:val="22"/>
        </w:rPr>
        <w:t>Ing. Vincenzo Garofalo</w:t>
      </w:r>
    </w:p>
    <w:p w14:paraId="163187DC" w14:textId="77777777" w:rsidR="00806BB9" w:rsidRPr="00010AA6" w:rsidRDefault="00806BB9" w:rsidP="00356323">
      <w:pPr>
        <w:spacing w:line="276" w:lineRule="auto"/>
        <w:ind w:left="5103" w:hanging="5103"/>
        <w:rPr>
          <w:b/>
          <w:sz w:val="22"/>
          <w:szCs w:val="22"/>
        </w:rPr>
      </w:pPr>
    </w:p>
    <w:p w14:paraId="0AD63253" w14:textId="77777777" w:rsidR="00806BB9" w:rsidRPr="00010AA6" w:rsidRDefault="00806BB9" w:rsidP="00356323">
      <w:pPr>
        <w:spacing w:line="276" w:lineRule="auto"/>
        <w:rPr>
          <w:b/>
          <w:sz w:val="22"/>
          <w:szCs w:val="22"/>
        </w:rPr>
      </w:pPr>
      <w:r w:rsidRPr="00010AA6">
        <w:rPr>
          <w:b/>
          <w:sz w:val="22"/>
          <w:szCs w:val="22"/>
        </w:rPr>
        <w:t>V° Il Segretario Generale</w:t>
      </w:r>
    </w:p>
    <w:p w14:paraId="56555BDD" w14:textId="77777777" w:rsidR="00806BB9" w:rsidRPr="00010AA6" w:rsidRDefault="00806BB9" w:rsidP="00356323">
      <w:pPr>
        <w:spacing w:line="276" w:lineRule="auto"/>
        <w:rPr>
          <w:b/>
          <w:sz w:val="22"/>
          <w:szCs w:val="22"/>
        </w:rPr>
      </w:pPr>
      <w:r w:rsidRPr="00010AA6">
        <w:rPr>
          <w:b/>
          <w:sz w:val="22"/>
          <w:szCs w:val="22"/>
        </w:rPr>
        <w:t>Dott. Salvatore Minervino</w:t>
      </w:r>
    </w:p>
    <w:p w14:paraId="5E225959" w14:textId="77777777" w:rsidR="00226721" w:rsidRDefault="00226721" w:rsidP="00356323">
      <w:pPr>
        <w:spacing w:line="276" w:lineRule="auto"/>
        <w:ind w:hanging="1"/>
        <w:rPr>
          <w:sz w:val="22"/>
          <w:szCs w:val="22"/>
        </w:rPr>
      </w:pPr>
    </w:p>
    <w:p w14:paraId="034110B4" w14:textId="77777777" w:rsidR="00226721" w:rsidRDefault="00226721" w:rsidP="00356323">
      <w:pPr>
        <w:spacing w:line="276" w:lineRule="auto"/>
        <w:ind w:hanging="1"/>
        <w:rPr>
          <w:sz w:val="22"/>
          <w:szCs w:val="22"/>
        </w:rPr>
      </w:pPr>
    </w:p>
    <w:p w14:paraId="61645513" w14:textId="77777777" w:rsidR="00226721" w:rsidRDefault="00226721" w:rsidP="00356323">
      <w:pPr>
        <w:spacing w:line="276" w:lineRule="auto"/>
        <w:ind w:hanging="1"/>
        <w:rPr>
          <w:sz w:val="22"/>
          <w:szCs w:val="22"/>
        </w:rPr>
      </w:pPr>
    </w:p>
    <w:p w14:paraId="23B21297" w14:textId="722A7200" w:rsidR="00806BB9" w:rsidRPr="00226721" w:rsidRDefault="00806BB9" w:rsidP="00356323">
      <w:pPr>
        <w:spacing w:line="276" w:lineRule="auto"/>
        <w:ind w:hanging="1"/>
        <w:rPr>
          <w:sz w:val="16"/>
          <w:szCs w:val="16"/>
        </w:rPr>
      </w:pPr>
      <w:r w:rsidRPr="00226721">
        <w:rPr>
          <w:sz w:val="16"/>
          <w:szCs w:val="16"/>
        </w:rPr>
        <w:t>(documento firmato digitalmente ai sensi Dlgs 82/2005 e norme collegate)</w:t>
      </w:r>
    </w:p>
    <w:p w14:paraId="2CD2D471" w14:textId="2ACE0369" w:rsidR="00D4012C" w:rsidRPr="00010AA6" w:rsidRDefault="00D4012C" w:rsidP="00356323">
      <w:pPr>
        <w:spacing w:line="276" w:lineRule="auto"/>
        <w:rPr>
          <w:sz w:val="22"/>
          <w:szCs w:val="22"/>
        </w:rPr>
      </w:pPr>
    </w:p>
    <w:sectPr w:rsidR="00D4012C" w:rsidRPr="00010AA6" w:rsidSect="001A5479">
      <w:headerReference w:type="default" r:id="rId12"/>
      <w:footerReference w:type="default" r:id="rId13"/>
      <w:pgSz w:w="11906" w:h="16838"/>
      <w:pgMar w:top="2508" w:right="991" w:bottom="1961" w:left="1418"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4236" w14:textId="77777777" w:rsidR="00746C7C" w:rsidRDefault="00746C7C" w:rsidP="00CE4998">
      <w:r>
        <w:separator/>
      </w:r>
    </w:p>
  </w:endnote>
  <w:endnote w:type="continuationSeparator" w:id="0">
    <w:p w14:paraId="4A553EFB" w14:textId="77777777" w:rsidR="00746C7C" w:rsidRDefault="00746C7C" w:rsidP="00CE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4AF8" w14:textId="7ABE435C" w:rsidR="00241C57" w:rsidRPr="00CD65F6" w:rsidRDefault="000D1A5F" w:rsidP="00CD65F6">
    <w:pPr>
      <w:pStyle w:val="Pidipagina"/>
      <w:jc w:val="center"/>
      <w:rPr>
        <w:noProof/>
        <w:color w:val="053366"/>
        <w:lang w:val="it-IT"/>
      </w:rPr>
    </w:pPr>
    <w:r w:rsidRPr="00CD65F6">
      <w:rPr>
        <w:noProof/>
        <w:color w:val="053366"/>
        <w:lang w:val="it-IT"/>
      </w:rPr>
      <w:drawing>
        <wp:anchor distT="0" distB="0" distL="114300" distR="114300" simplePos="0" relativeHeight="251659264" behindDoc="1" locked="1" layoutInCell="1" allowOverlap="1" wp14:anchorId="702B239E" wp14:editId="1D5226A2">
          <wp:simplePos x="0" y="0"/>
          <wp:positionH relativeFrom="page">
            <wp:posOffset>635</wp:posOffset>
          </wp:positionH>
          <wp:positionV relativeFrom="page">
            <wp:posOffset>0</wp:posOffset>
          </wp:positionV>
          <wp:extent cx="7643495" cy="10807065"/>
          <wp:effectExtent l="0" t="0" r="0" b="0"/>
          <wp:wrapNone/>
          <wp:docPr id="2632688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68809" name="Immagine 1"/>
                  <pic:cNvPicPr/>
                </pic:nvPicPr>
                <pic:blipFill>
                  <a:blip r:embed="rId1"/>
                  <a:stretch>
                    <a:fillRect/>
                  </a:stretch>
                </pic:blipFill>
                <pic:spPr>
                  <a:xfrm>
                    <a:off x="0" y="0"/>
                    <a:ext cx="7643495" cy="10807065"/>
                  </a:xfrm>
                  <a:prstGeom prst="rect">
                    <a:avLst/>
                  </a:prstGeom>
                </pic:spPr>
              </pic:pic>
            </a:graphicData>
          </a:graphic>
          <wp14:sizeRelH relativeFrom="margin">
            <wp14:pctWidth>0</wp14:pctWidth>
          </wp14:sizeRelH>
          <wp14:sizeRelV relativeFrom="margin">
            <wp14:pctHeight>0</wp14:pctHeight>
          </wp14:sizeRelV>
        </wp:anchor>
      </w:drawing>
    </w:r>
    <w:r w:rsidR="00241C57" w:rsidRPr="00CD65F6">
      <w:rPr>
        <w:noProof/>
        <w:color w:val="053366"/>
        <w:lang w:val="it-IT"/>
      </w:rPr>
      <w:fldChar w:fldCharType="begin"/>
    </w:r>
    <w:r w:rsidR="00241C57" w:rsidRPr="00CD65F6">
      <w:rPr>
        <w:noProof/>
        <w:color w:val="053366"/>
        <w:lang w:val="it-IT"/>
      </w:rPr>
      <w:instrText>PAGE   \* MERGEFORMAT</w:instrText>
    </w:r>
    <w:r w:rsidR="00241C57" w:rsidRPr="00CD65F6">
      <w:rPr>
        <w:noProof/>
        <w:color w:val="053366"/>
        <w:lang w:val="it-IT"/>
      </w:rPr>
      <w:fldChar w:fldCharType="separate"/>
    </w:r>
    <w:r w:rsidR="00086D73" w:rsidRPr="00CD65F6">
      <w:rPr>
        <w:noProof/>
        <w:color w:val="053366"/>
        <w:lang w:val="it-IT"/>
      </w:rPr>
      <w:t>1</w:t>
    </w:r>
    <w:r w:rsidR="00241C57" w:rsidRPr="00CD65F6">
      <w:rPr>
        <w:noProof/>
        <w:color w:val="053366"/>
        <w:lang w:val="it-IT"/>
      </w:rPr>
      <w:fldChar w:fldCharType="end"/>
    </w:r>
  </w:p>
  <w:p w14:paraId="597AF26C" w14:textId="39A193B8" w:rsidR="00E709F4" w:rsidRDefault="00E709F4" w:rsidP="00E709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AC46" w14:textId="77777777" w:rsidR="00746C7C" w:rsidRDefault="00746C7C" w:rsidP="00CE4998">
      <w:r>
        <w:separator/>
      </w:r>
    </w:p>
  </w:footnote>
  <w:footnote w:type="continuationSeparator" w:id="0">
    <w:p w14:paraId="0D8F4E14" w14:textId="77777777" w:rsidR="00746C7C" w:rsidRDefault="00746C7C" w:rsidP="00CE4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FA5" w14:textId="6AA4DC07" w:rsidR="00280751" w:rsidRDefault="00280751" w:rsidP="004C75FE">
    <w:pPr>
      <w:pStyle w:val="Intestazione"/>
      <w:ind w:left="-567"/>
    </w:pPr>
  </w:p>
  <w:p w14:paraId="5A0B7A31" w14:textId="055B8AB0" w:rsidR="00D4012C" w:rsidRDefault="00D4012C" w:rsidP="004C75FE">
    <w:pPr>
      <w:pStyle w:val="Intestazione"/>
      <w:ind w:left="-567"/>
    </w:pPr>
  </w:p>
  <w:p w14:paraId="23E43018" w14:textId="0415DE5E" w:rsidR="00D4012C" w:rsidRDefault="00D4012C" w:rsidP="004C75FE">
    <w:pPr>
      <w:pStyle w:val="Intestazione"/>
      <w:ind w:left="-567"/>
    </w:pPr>
  </w:p>
  <w:p w14:paraId="560060DD" w14:textId="77777777" w:rsidR="00D4012C" w:rsidRDefault="00D4012C" w:rsidP="004C75FE">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7A7"/>
    <w:multiLevelType w:val="hybridMultilevel"/>
    <w:tmpl w:val="F14A2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C2742"/>
    <w:multiLevelType w:val="hybridMultilevel"/>
    <w:tmpl w:val="4DF4F1FC"/>
    <w:lvl w:ilvl="0" w:tplc="78828484">
      <w:start w:val="3947"/>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B20F24"/>
    <w:multiLevelType w:val="hybridMultilevel"/>
    <w:tmpl w:val="92E6250A"/>
    <w:lvl w:ilvl="0" w:tplc="2A00BAB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904AE"/>
    <w:multiLevelType w:val="hybridMultilevel"/>
    <w:tmpl w:val="B6509EE4"/>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60E49CC"/>
    <w:multiLevelType w:val="hybridMultilevel"/>
    <w:tmpl w:val="B636A2C0"/>
    <w:lvl w:ilvl="0" w:tplc="258E3B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A3883"/>
    <w:multiLevelType w:val="hybridMultilevel"/>
    <w:tmpl w:val="05CCC580"/>
    <w:lvl w:ilvl="0" w:tplc="CAA8075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071C71"/>
    <w:multiLevelType w:val="hybridMultilevel"/>
    <w:tmpl w:val="919A4B88"/>
    <w:lvl w:ilvl="0" w:tplc="F8FC63A0">
      <w:start w:val="1"/>
      <w:numFmt w:val="lowerLetter"/>
      <w:lvlText w:val="%1)"/>
      <w:lvlJc w:val="left"/>
      <w:pPr>
        <w:ind w:left="720" w:hanging="360"/>
      </w:pPr>
      <w:rPr>
        <w:rFonts w:eastAsia="Calibri" w:hint="default"/>
        <w:b w:val="0"/>
        <w:color w:val="000000" w:themeColor="text1"/>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682D50"/>
    <w:multiLevelType w:val="hybridMultilevel"/>
    <w:tmpl w:val="BC327AE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AE06D6"/>
    <w:multiLevelType w:val="hybridMultilevel"/>
    <w:tmpl w:val="A502EA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1312F9A"/>
    <w:multiLevelType w:val="hybridMultilevel"/>
    <w:tmpl w:val="B5784B9C"/>
    <w:lvl w:ilvl="0" w:tplc="6EA884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2EC0AF0"/>
    <w:multiLevelType w:val="hybridMultilevel"/>
    <w:tmpl w:val="8A988A0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1" w15:restartNumberingAfterBreak="0">
    <w:nsid w:val="46F73BA3"/>
    <w:multiLevelType w:val="hybridMultilevel"/>
    <w:tmpl w:val="38A0A58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5B867EAD"/>
    <w:multiLevelType w:val="hybridMultilevel"/>
    <w:tmpl w:val="165C0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BEA7CA9"/>
    <w:multiLevelType w:val="hybridMultilevel"/>
    <w:tmpl w:val="A69649E6"/>
    <w:lvl w:ilvl="0" w:tplc="BEFE9C7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0D6C4F"/>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3F2506"/>
    <w:multiLevelType w:val="hybridMultilevel"/>
    <w:tmpl w:val="919A4B88"/>
    <w:lvl w:ilvl="0" w:tplc="FFFFFFFF">
      <w:start w:val="1"/>
      <w:numFmt w:val="lowerLetter"/>
      <w:lvlText w:val="%1)"/>
      <w:lvlJc w:val="left"/>
      <w:pPr>
        <w:ind w:left="720" w:hanging="360"/>
      </w:pPr>
      <w:rPr>
        <w:rFonts w:eastAsia="Calibri" w:hint="default"/>
        <w:b w:val="0"/>
        <w:color w:val="000000" w:themeColor="text1"/>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042422"/>
    <w:multiLevelType w:val="hybridMultilevel"/>
    <w:tmpl w:val="05AAA17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D532D0E"/>
    <w:multiLevelType w:val="hybridMultilevel"/>
    <w:tmpl w:val="71C4D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0B4706"/>
    <w:multiLevelType w:val="hybridMultilevel"/>
    <w:tmpl w:val="B3463944"/>
    <w:lvl w:ilvl="0" w:tplc="0410000F">
      <w:start w:val="1"/>
      <w:numFmt w:val="decimal"/>
      <w:lvlText w:val="%1."/>
      <w:lvlJc w:val="left"/>
      <w:pPr>
        <w:ind w:left="360" w:hanging="360"/>
      </w:pPr>
    </w:lvl>
    <w:lvl w:ilvl="1" w:tplc="FCA01BB0">
      <w:start w:val="1"/>
      <w:numFmt w:val="lowerLetter"/>
      <w:lvlText w:val="%2."/>
      <w:lvlJc w:val="left"/>
      <w:pPr>
        <w:ind w:left="1440" w:hanging="72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EF1495B"/>
    <w:multiLevelType w:val="hybridMultilevel"/>
    <w:tmpl w:val="78B4348A"/>
    <w:lvl w:ilvl="0" w:tplc="6F520F48">
      <w:start w:val="1"/>
      <w:numFmt w:val="decimal"/>
      <w:lvlText w:val="%1."/>
      <w:lvlJc w:val="left"/>
      <w:pPr>
        <w:ind w:left="360" w:hanging="360"/>
      </w:pPr>
      <w:rPr>
        <w:color w:val="000000" w:themeColor="text1"/>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0" w15:restartNumberingAfterBreak="0">
    <w:nsid w:val="7FEF3C2A"/>
    <w:multiLevelType w:val="hybridMultilevel"/>
    <w:tmpl w:val="4516BF8C"/>
    <w:lvl w:ilvl="0" w:tplc="022CA866">
      <w:start w:val="1"/>
      <w:numFmt w:val="decimal"/>
      <w:pStyle w:val="Titolo1"/>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17013095">
    <w:abstractNumId w:val="20"/>
  </w:num>
  <w:num w:numId="2" w16cid:durableId="52505022">
    <w:abstractNumId w:val="0"/>
  </w:num>
  <w:num w:numId="3" w16cid:durableId="274868226">
    <w:abstractNumId w:val="18"/>
  </w:num>
  <w:num w:numId="4" w16cid:durableId="1110467979">
    <w:abstractNumId w:val="11"/>
  </w:num>
  <w:num w:numId="5" w16cid:durableId="2076539200">
    <w:abstractNumId w:val="7"/>
  </w:num>
  <w:num w:numId="6" w16cid:durableId="1337532331">
    <w:abstractNumId w:val="12"/>
  </w:num>
  <w:num w:numId="7" w16cid:durableId="1754930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252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438176">
    <w:abstractNumId w:val="8"/>
  </w:num>
  <w:num w:numId="10" w16cid:durableId="1910841845">
    <w:abstractNumId w:val="17"/>
  </w:num>
  <w:num w:numId="11" w16cid:durableId="465509685">
    <w:abstractNumId w:val="9"/>
  </w:num>
  <w:num w:numId="12" w16cid:durableId="1742944106">
    <w:abstractNumId w:val="2"/>
  </w:num>
  <w:num w:numId="13" w16cid:durableId="1778213805">
    <w:abstractNumId w:val="1"/>
  </w:num>
  <w:num w:numId="14" w16cid:durableId="142041617">
    <w:abstractNumId w:val="10"/>
  </w:num>
  <w:num w:numId="15" w16cid:durableId="325666046">
    <w:abstractNumId w:val="6"/>
  </w:num>
  <w:num w:numId="16" w16cid:durableId="456990525">
    <w:abstractNumId w:val="4"/>
  </w:num>
  <w:num w:numId="17" w16cid:durableId="1940553394">
    <w:abstractNumId w:val="14"/>
  </w:num>
  <w:num w:numId="18" w16cid:durableId="264071503">
    <w:abstractNumId w:val="13"/>
  </w:num>
  <w:num w:numId="19" w16cid:durableId="559250721">
    <w:abstractNumId w:val="15"/>
  </w:num>
  <w:num w:numId="20" w16cid:durableId="1022628388">
    <w:abstractNumId w:val="19"/>
  </w:num>
  <w:num w:numId="21" w16cid:durableId="808670517">
    <w:abstractNumId w:val="5"/>
  </w:num>
  <w:num w:numId="22" w16cid:durableId="608514684">
    <w:abstractNumId w:val="16"/>
  </w:num>
  <w:num w:numId="23" w16cid:durableId="5335914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03"/>
    <w:rsid w:val="000013C3"/>
    <w:rsid w:val="00001C81"/>
    <w:rsid w:val="0000410B"/>
    <w:rsid w:val="00005BED"/>
    <w:rsid w:val="0000670E"/>
    <w:rsid w:val="000077AE"/>
    <w:rsid w:val="00010AA6"/>
    <w:rsid w:val="0001103A"/>
    <w:rsid w:val="00011BDB"/>
    <w:rsid w:val="00015721"/>
    <w:rsid w:val="000160BE"/>
    <w:rsid w:val="00017244"/>
    <w:rsid w:val="000176A8"/>
    <w:rsid w:val="000177A6"/>
    <w:rsid w:val="00020FE2"/>
    <w:rsid w:val="00021731"/>
    <w:rsid w:val="000236C9"/>
    <w:rsid w:val="00025324"/>
    <w:rsid w:val="00027C63"/>
    <w:rsid w:val="0003061D"/>
    <w:rsid w:val="00030C87"/>
    <w:rsid w:val="000310E7"/>
    <w:rsid w:val="00031D12"/>
    <w:rsid w:val="00033242"/>
    <w:rsid w:val="00034B7A"/>
    <w:rsid w:val="0003681B"/>
    <w:rsid w:val="00037242"/>
    <w:rsid w:val="00053FAD"/>
    <w:rsid w:val="0005440A"/>
    <w:rsid w:val="00060083"/>
    <w:rsid w:val="0006409D"/>
    <w:rsid w:val="000666DA"/>
    <w:rsid w:val="000672D5"/>
    <w:rsid w:val="0006799D"/>
    <w:rsid w:val="0007103F"/>
    <w:rsid w:val="0007596C"/>
    <w:rsid w:val="000851CB"/>
    <w:rsid w:val="00086D73"/>
    <w:rsid w:val="000903CA"/>
    <w:rsid w:val="00090A2E"/>
    <w:rsid w:val="00091ED2"/>
    <w:rsid w:val="00092D51"/>
    <w:rsid w:val="00093C92"/>
    <w:rsid w:val="00094942"/>
    <w:rsid w:val="00095100"/>
    <w:rsid w:val="000969AF"/>
    <w:rsid w:val="000A21C2"/>
    <w:rsid w:val="000A5369"/>
    <w:rsid w:val="000A5C0A"/>
    <w:rsid w:val="000A76DE"/>
    <w:rsid w:val="000B21B3"/>
    <w:rsid w:val="000B2D96"/>
    <w:rsid w:val="000B2E84"/>
    <w:rsid w:val="000B3B1D"/>
    <w:rsid w:val="000B7972"/>
    <w:rsid w:val="000C0547"/>
    <w:rsid w:val="000C0A68"/>
    <w:rsid w:val="000C15E8"/>
    <w:rsid w:val="000C302F"/>
    <w:rsid w:val="000C3636"/>
    <w:rsid w:val="000C5C77"/>
    <w:rsid w:val="000D1A5F"/>
    <w:rsid w:val="000D22CF"/>
    <w:rsid w:val="000D4CBB"/>
    <w:rsid w:val="000E1BEC"/>
    <w:rsid w:val="000E2D69"/>
    <w:rsid w:val="000E3DAD"/>
    <w:rsid w:val="000E51BB"/>
    <w:rsid w:val="000E5704"/>
    <w:rsid w:val="000E7409"/>
    <w:rsid w:val="000F2BAF"/>
    <w:rsid w:val="000F464A"/>
    <w:rsid w:val="000F7241"/>
    <w:rsid w:val="001031F0"/>
    <w:rsid w:val="00103373"/>
    <w:rsid w:val="001037DC"/>
    <w:rsid w:val="00103999"/>
    <w:rsid w:val="00104870"/>
    <w:rsid w:val="001056DD"/>
    <w:rsid w:val="00105882"/>
    <w:rsid w:val="00107B3A"/>
    <w:rsid w:val="00110B8B"/>
    <w:rsid w:val="00110C7E"/>
    <w:rsid w:val="00111476"/>
    <w:rsid w:val="00111C9D"/>
    <w:rsid w:val="001123AB"/>
    <w:rsid w:val="00115F31"/>
    <w:rsid w:val="00117DE9"/>
    <w:rsid w:val="001232C9"/>
    <w:rsid w:val="00127BC7"/>
    <w:rsid w:val="00134576"/>
    <w:rsid w:val="0014025D"/>
    <w:rsid w:val="001455D2"/>
    <w:rsid w:val="00147652"/>
    <w:rsid w:val="00147F8C"/>
    <w:rsid w:val="00151462"/>
    <w:rsid w:val="001538D7"/>
    <w:rsid w:val="001564FE"/>
    <w:rsid w:val="0016094E"/>
    <w:rsid w:val="00165BCA"/>
    <w:rsid w:val="00172C4C"/>
    <w:rsid w:val="00173E03"/>
    <w:rsid w:val="001743F8"/>
    <w:rsid w:val="001756CA"/>
    <w:rsid w:val="00175DCB"/>
    <w:rsid w:val="00176E29"/>
    <w:rsid w:val="00176E8F"/>
    <w:rsid w:val="00181241"/>
    <w:rsid w:val="00183B08"/>
    <w:rsid w:val="00185970"/>
    <w:rsid w:val="001867CC"/>
    <w:rsid w:val="00193305"/>
    <w:rsid w:val="001939F0"/>
    <w:rsid w:val="00194497"/>
    <w:rsid w:val="001A5479"/>
    <w:rsid w:val="001B55B6"/>
    <w:rsid w:val="001B5DAA"/>
    <w:rsid w:val="001B7AD1"/>
    <w:rsid w:val="001C3DEB"/>
    <w:rsid w:val="001D2040"/>
    <w:rsid w:val="001D2954"/>
    <w:rsid w:val="001D43B3"/>
    <w:rsid w:val="001D6E2C"/>
    <w:rsid w:val="001E14FE"/>
    <w:rsid w:val="001E1D1F"/>
    <w:rsid w:val="001E2A7E"/>
    <w:rsid w:val="001E57F8"/>
    <w:rsid w:val="001E6E86"/>
    <w:rsid w:val="00201E6A"/>
    <w:rsid w:val="002039CB"/>
    <w:rsid w:val="00206970"/>
    <w:rsid w:val="002070E2"/>
    <w:rsid w:val="00211398"/>
    <w:rsid w:val="00212B1A"/>
    <w:rsid w:val="00213A62"/>
    <w:rsid w:val="00214DED"/>
    <w:rsid w:val="0022135B"/>
    <w:rsid w:val="00221726"/>
    <w:rsid w:val="00224FD3"/>
    <w:rsid w:val="00226721"/>
    <w:rsid w:val="00231C6D"/>
    <w:rsid w:val="00233B84"/>
    <w:rsid w:val="00234E35"/>
    <w:rsid w:val="0024031E"/>
    <w:rsid w:val="00241C57"/>
    <w:rsid w:val="002454D6"/>
    <w:rsid w:val="00247B66"/>
    <w:rsid w:val="00251795"/>
    <w:rsid w:val="00251859"/>
    <w:rsid w:val="0025422A"/>
    <w:rsid w:val="00254F01"/>
    <w:rsid w:val="00254F1A"/>
    <w:rsid w:val="002630F0"/>
    <w:rsid w:val="002655CB"/>
    <w:rsid w:val="002659A8"/>
    <w:rsid w:val="00265C73"/>
    <w:rsid w:val="00271F2F"/>
    <w:rsid w:val="00273FE1"/>
    <w:rsid w:val="00274CFA"/>
    <w:rsid w:val="00275750"/>
    <w:rsid w:val="002761C3"/>
    <w:rsid w:val="0027663A"/>
    <w:rsid w:val="002776F3"/>
    <w:rsid w:val="00280751"/>
    <w:rsid w:val="002817F7"/>
    <w:rsid w:val="0028437B"/>
    <w:rsid w:val="0029166F"/>
    <w:rsid w:val="00292943"/>
    <w:rsid w:val="00293025"/>
    <w:rsid w:val="00295B99"/>
    <w:rsid w:val="002A18B4"/>
    <w:rsid w:val="002A2F18"/>
    <w:rsid w:val="002A4246"/>
    <w:rsid w:val="002A552C"/>
    <w:rsid w:val="002A6C69"/>
    <w:rsid w:val="002A75AE"/>
    <w:rsid w:val="002B5068"/>
    <w:rsid w:val="002C0DF0"/>
    <w:rsid w:val="002C641D"/>
    <w:rsid w:val="002D0BB8"/>
    <w:rsid w:val="002D2D45"/>
    <w:rsid w:val="002D334D"/>
    <w:rsid w:val="002D5101"/>
    <w:rsid w:val="002E119F"/>
    <w:rsid w:val="002F193B"/>
    <w:rsid w:val="002F1AF5"/>
    <w:rsid w:val="002F2619"/>
    <w:rsid w:val="002F30E8"/>
    <w:rsid w:val="002F46DE"/>
    <w:rsid w:val="003002A8"/>
    <w:rsid w:val="0030185A"/>
    <w:rsid w:val="00304C2A"/>
    <w:rsid w:val="003057E0"/>
    <w:rsid w:val="00311110"/>
    <w:rsid w:val="00316A16"/>
    <w:rsid w:val="00316C33"/>
    <w:rsid w:val="00326D03"/>
    <w:rsid w:val="0033163C"/>
    <w:rsid w:val="00331779"/>
    <w:rsid w:val="003331C4"/>
    <w:rsid w:val="00341688"/>
    <w:rsid w:val="00341CE9"/>
    <w:rsid w:val="0035006B"/>
    <w:rsid w:val="00350A49"/>
    <w:rsid w:val="003536B5"/>
    <w:rsid w:val="00356323"/>
    <w:rsid w:val="00360E6C"/>
    <w:rsid w:val="00361BFD"/>
    <w:rsid w:val="003703A6"/>
    <w:rsid w:val="00370A2B"/>
    <w:rsid w:val="00370D93"/>
    <w:rsid w:val="0037373A"/>
    <w:rsid w:val="003803F2"/>
    <w:rsid w:val="003806A1"/>
    <w:rsid w:val="003812AC"/>
    <w:rsid w:val="00381CB4"/>
    <w:rsid w:val="003856A6"/>
    <w:rsid w:val="00390024"/>
    <w:rsid w:val="00394947"/>
    <w:rsid w:val="00395A3C"/>
    <w:rsid w:val="0039693D"/>
    <w:rsid w:val="003A01EC"/>
    <w:rsid w:val="003A1001"/>
    <w:rsid w:val="003A1AC8"/>
    <w:rsid w:val="003A66B0"/>
    <w:rsid w:val="003B0D8E"/>
    <w:rsid w:val="003B38A3"/>
    <w:rsid w:val="003B43D4"/>
    <w:rsid w:val="003B4E3B"/>
    <w:rsid w:val="003C3053"/>
    <w:rsid w:val="003C40D2"/>
    <w:rsid w:val="003C4FFC"/>
    <w:rsid w:val="003C513F"/>
    <w:rsid w:val="003D2D97"/>
    <w:rsid w:val="003D75BA"/>
    <w:rsid w:val="003E54BB"/>
    <w:rsid w:val="003E6581"/>
    <w:rsid w:val="003F1876"/>
    <w:rsid w:val="003F49A2"/>
    <w:rsid w:val="003F55BC"/>
    <w:rsid w:val="003F6549"/>
    <w:rsid w:val="003F6EB6"/>
    <w:rsid w:val="003F724E"/>
    <w:rsid w:val="003F76BE"/>
    <w:rsid w:val="00401254"/>
    <w:rsid w:val="00401BF7"/>
    <w:rsid w:val="00401F08"/>
    <w:rsid w:val="004050D7"/>
    <w:rsid w:val="00406C3C"/>
    <w:rsid w:val="00406E1E"/>
    <w:rsid w:val="00413616"/>
    <w:rsid w:val="00415C46"/>
    <w:rsid w:val="00415DBE"/>
    <w:rsid w:val="0041782E"/>
    <w:rsid w:val="00420361"/>
    <w:rsid w:val="004216AB"/>
    <w:rsid w:val="0042386D"/>
    <w:rsid w:val="0042579A"/>
    <w:rsid w:val="00426C1A"/>
    <w:rsid w:val="00427C56"/>
    <w:rsid w:val="00435264"/>
    <w:rsid w:val="00436C80"/>
    <w:rsid w:val="0043772D"/>
    <w:rsid w:val="004432E2"/>
    <w:rsid w:val="004439A2"/>
    <w:rsid w:val="00444D93"/>
    <w:rsid w:val="00447985"/>
    <w:rsid w:val="00451C47"/>
    <w:rsid w:val="00461367"/>
    <w:rsid w:val="00461ACE"/>
    <w:rsid w:val="00463026"/>
    <w:rsid w:val="00463190"/>
    <w:rsid w:val="00464B5A"/>
    <w:rsid w:val="00465E42"/>
    <w:rsid w:val="00465F90"/>
    <w:rsid w:val="00472590"/>
    <w:rsid w:val="00473E78"/>
    <w:rsid w:val="00474838"/>
    <w:rsid w:val="0048263D"/>
    <w:rsid w:val="00483C00"/>
    <w:rsid w:val="004845FE"/>
    <w:rsid w:val="0048527A"/>
    <w:rsid w:val="0048776B"/>
    <w:rsid w:val="00490ECA"/>
    <w:rsid w:val="004935F9"/>
    <w:rsid w:val="00493C90"/>
    <w:rsid w:val="00496D36"/>
    <w:rsid w:val="004A26AA"/>
    <w:rsid w:val="004A350C"/>
    <w:rsid w:val="004A3D0D"/>
    <w:rsid w:val="004A7BA0"/>
    <w:rsid w:val="004B2249"/>
    <w:rsid w:val="004B2A96"/>
    <w:rsid w:val="004B3EBD"/>
    <w:rsid w:val="004B5331"/>
    <w:rsid w:val="004B608A"/>
    <w:rsid w:val="004B6A3B"/>
    <w:rsid w:val="004B7344"/>
    <w:rsid w:val="004C1F88"/>
    <w:rsid w:val="004C452D"/>
    <w:rsid w:val="004C52A7"/>
    <w:rsid w:val="004C75FE"/>
    <w:rsid w:val="004D0097"/>
    <w:rsid w:val="004D3087"/>
    <w:rsid w:val="004D30F1"/>
    <w:rsid w:val="004D3C41"/>
    <w:rsid w:val="004D40D1"/>
    <w:rsid w:val="004E23FD"/>
    <w:rsid w:val="004E2A59"/>
    <w:rsid w:val="004E32A2"/>
    <w:rsid w:val="004E6C8E"/>
    <w:rsid w:val="004F5683"/>
    <w:rsid w:val="00500476"/>
    <w:rsid w:val="00500F73"/>
    <w:rsid w:val="00501998"/>
    <w:rsid w:val="00502223"/>
    <w:rsid w:val="00503C49"/>
    <w:rsid w:val="00504D24"/>
    <w:rsid w:val="0050553D"/>
    <w:rsid w:val="00506C82"/>
    <w:rsid w:val="0050773D"/>
    <w:rsid w:val="00513155"/>
    <w:rsid w:val="00513AF5"/>
    <w:rsid w:val="00515A74"/>
    <w:rsid w:val="00517A32"/>
    <w:rsid w:val="00521706"/>
    <w:rsid w:val="005223B4"/>
    <w:rsid w:val="00523E25"/>
    <w:rsid w:val="005263D2"/>
    <w:rsid w:val="0053400B"/>
    <w:rsid w:val="00534A64"/>
    <w:rsid w:val="00534FED"/>
    <w:rsid w:val="00536803"/>
    <w:rsid w:val="005422B8"/>
    <w:rsid w:val="00542ECE"/>
    <w:rsid w:val="005440BF"/>
    <w:rsid w:val="00544C61"/>
    <w:rsid w:val="00545F31"/>
    <w:rsid w:val="00547A61"/>
    <w:rsid w:val="00550110"/>
    <w:rsid w:val="00554244"/>
    <w:rsid w:val="00554D4A"/>
    <w:rsid w:val="00555AB7"/>
    <w:rsid w:val="00556C93"/>
    <w:rsid w:val="0055726E"/>
    <w:rsid w:val="00561AF8"/>
    <w:rsid w:val="00564519"/>
    <w:rsid w:val="005654D8"/>
    <w:rsid w:val="005675D8"/>
    <w:rsid w:val="00571A3D"/>
    <w:rsid w:val="005805E1"/>
    <w:rsid w:val="00580EA6"/>
    <w:rsid w:val="00581406"/>
    <w:rsid w:val="0058563D"/>
    <w:rsid w:val="005874CA"/>
    <w:rsid w:val="00593BB3"/>
    <w:rsid w:val="0059426F"/>
    <w:rsid w:val="00594925"/>
    <w:rsid w:val="005953D1"/>
    <w:rsid w:val="005954ED"/>
    <w:rsid w:val="005A27B8"/>
    <w:rsid w:val="005A28CF"/>
    <w:rsid w:val="005A3210"/>
    <w:rsid w:val="005A4012"/>
    <w:rsid w:val="005A4505"/>
    <w:rsid w:val="005B0B39"/>
    <w:rsid w:val="005B60D1"/>
    <w:rsid w:val="005C1566"/>
    <w:rsid w:val="005C314E"/>
    <w:rsid w:val="005C3382"/>
    <w:rsid w:val="005C6178"/>
    <w:rsid w:val="005C67EC"/>
    <w:rsid w:val="005D12F9"/>
    <w:rsid w:val="005D75FF"/>
    <w:rsid w:val="005E2780"/>
    <w:rsid w:val="005E3BC5"/>
    <w:rsid w:val="005E70E1"/>
    <w:rsid w:val="005F2514"/>
    <w:rsid w:val="005F3A49"/>
    <w:rsid w:val="006012F4"/>
    <w:rsid w:val="00603313"/>
    <w:rsid w:val="00604345"/>
    <w:rsid w:val="0060481B"/>
    <w:rsid w:val="00605C0D"/>
    <w:rsid w:val="0060789D"/>
    <w:rsid w:val="00607E5F"/>
    <w:rsid w:val="006210DC"/>
    <w:rsid w:val="006223D2"/>
    <w:rsid w:val="00623AF8"/>
    <w:rsid w:val="00627298"/>
    <w:rsid w:val="00631106"/>
    <w:rsid w:val="00632B86"/>
    <w:rsid w:val="006339B2"/>
    <w:rsid w:val="00633B96"/>
    <w:rsid w:val="0063480F"/>
    <w:rsid w:val="0063612E"/>
    <w:rsid w:val="00647D14"/>
    <w:rsid w:val="00650365"/>
    <w:rsid w:val="006516D1"/>
    <w:rsid w:val="00655110"/>
    <w:rsid w:val="00655E19"/>
    <w:rsid w:val="00657279"/>
    <w:rsid w:val="00660D82"/>
    <w:rsid w:val="00663882"/>
    <w:rsid w:val="0066494E"/>
    <w:rsid w:val="0066698D"/>
    <w:rsid w:val="006701CE"/>
    <w:rsid w:val="006732D8"/>
    <w:rsid w:val="00673963"/>
    <w:rsid w:val="006779E4"/>
    <w:rsid w:val="00677D04"/>
    <w:rsid w:val="00682CAA"/>
    <w:rsid w:val="00682DE6"/>
    <w:rsid w:val="00685067"/>
    <w:rsid w:val="006922A5"/>
    <w:rsid w:val="00692BD4"/>
    <w:rsid w:val="0069416E"/>
    <w:rsid w:val="00695BCF"/>
    <w:rsid w:val="00696827"/>
    <w:rsid w:val="006A157E"/>
    <w:rsid w:val="006B1800"/>
    <w:rsid w:val="006B27BE"/>
    <w:rsid w:val="006C41FD"/>
    <w:rsid w:val="006C57C1"/>
    <w:rsid w:val="006D0005"/>
    <w:rsid w:val="006D70D2"/>
    <w:rsid w:val="006D7BA7"/>
    <w:rsid w:val="006E2494"/>
    <w:rsid w:val="006E3152"/>
    <w:rsid w:val="006E7E25"/>
    <w:rsid w:val="006F0BAD"/>
    <w:rsid w:val="006F1623"/>
    <w:rsid w:val="006F495B"/>
    <w:rsid w:val="006F7EA8"/>
    <w:rsid w:val="007009BD"/>
    <w:rsid w:val="0070162B"/>
    <w:rsid w:val="0070324E"/>
    <w:rsid w:val="00705B0E"/>
    <w:rsid w:val="007069B0"/>
    <w:rsid w:val="00706ADE"/>
    <w:rsid w:val="007075F8"/>
    <w:rsid w:val="0071100E"/>
    <w:rsid w:val="00711FF6"/>
    <w:rsid w:val="007120C0"/>
    <w:rsid w:val="007144DD"/>
    <w:rsid w:val="00716344"/>
    <w:rsid w:val="00720EC6"/>
    <w:rsid w:val="00722601"/>
    <w:rsid w:val="00722D2E"/>
    <w:rsid w:val="00731729"/>
    <w:rsid w:val="007345D5"/>
    <w:rsid w:val="00734A96"/>
    <w:rsid w:val="00734AC8"/>
    <w:rsid w:val="00735410"/>
    <w:rsid w:val="00745189"/>
    <w:rsid w:val="00745420"/>
    <w:rsid w:val="0074546C"/>
    <w:rsid w:val="00746C7C"/>
    <w:rsid w:val="0075224E"/>
    <w:rsid w:val="00755120"/>
    <w:rsid w:val="007552E7"/>
    <w:rsid w:val="007614A7"/>
    <w:rsid w:val="00762B7B"/>
    <w:rsid w:val="007649E0"/>
    <w:rsid w:val="0076736B"/>
    <w:rsid w:val="00771D9A"/>
    <w:rsid w:val="0077297A"/>
    <w:rsid w:val="00773923"/>
    <w:rsid w:val="00775F52"/>
    <w:rsid w:val="00780A5F"/>
    <w:rsid w:val="00781302"/>
    <w:rsid w:val="0078381C"/>
    <w:rsid w:val="00786694"/>
    <w:rsid w:val="00791976"/>
    <w:rsid w:val="00794249"/>
    <w:rsid w:val="00796EFE"/>
    <w:rsid w:val="007A0FA2"/>
    <w:rsid w:val="007A25F8"/>
    <w:rsid w:val="007A3DF1"/>
    <w:rsid w:val="007A499B"/>
    <w:rsid w:val="007A7BB0"/>
    <w:rsid w:val="007B031D"/>
    <w:rsid w:val="007B1E4A"/>
    <w:rsid w:val="007B5FAC"/>
    <w:rsid w:val="007B613F"/>
    <w:rsid w:val="007B7445"/>
    <w:rsid w:val="007C0827"/>
    <w:rsid w:val="007C2C73"/>
    <w:rsid w:val="007D259C"/>
    <w:rsid w:val="007D4D7A"/>
    <w:rsid w:val="007E16B7"/>
    <w:rsid w:val="007E25D1"/>
    <w:rsid w:val="007E2EB4"/>
    <w:rsid w:val="007E4F1B"/>
    <w:rsid w:val="007E7106"/>
    <w:rsid w:val="007E7FF2"/>
    <w:rsid w:val="007F1988"/>
    <w:rsid w:val="007F4B56"/>
    <w:rsid w:val="007F6E60"/>
    <w:rsid w:val="00801841"/>
    <w:rsid w:val="00803830"/>
    <w:rsid w:val="008039D6"/>
    <w:rsid w:val="00804B6C"/>
    <w:rsid w:val="00805A9B"/>
    <w:rsid w:val="008063DE"/>
    <w:rsid w:val="008069F3"/>
    <w:rsid w:val="00806BB9"/>
    <w:rsid w:val="0081077B"/>
    <w:rsid w:val="008156A6"/>
    <w:rsid w:val="00820DD9"/>
    <w:rsid w:val="00821127"/>
    <w:rsid w:val="00823B9E"/>
    <w:rsid w:val="00830A24"/>
    <w:rsid w:val="0083249E"/>
    <w:rsid w:val="00832DF1"/>
    <w:rsid w:val="008339AE"/>
    <w:rsid w:val="008405E3"/>
    <w:rsid w:val="00843158"/>
    <w:rsid w:val="00846EE3"/>
    <w:rsid w:val="0084761B"/>
    <w:rsid w:val="00852E10"/>
    <w:rsid w:val="00856E84"/>
    <w:rsid w:val="00857E22"/>
    <w:rsid w:val="00860E2A"/>
    <w:rsid w:val="008610C9"/>
    <w:rsid w:val="00862AB1"/>
    <w:rsid w:val="00863251"/>
    <w:rsid w:val="008729B2"/>
    <w:rsid w:val="00874A99"/>
    <w:rsid w:val="00877299"/>
    <w:rsid w:val="00883C91"/>
    <w:rsid w:val="008848D7"/>
    <w:rsid w:val="00892111"/>
    <w:rsid w:val="008934ED"/>
    <w:rsid w:val="00894556"/>
    <w:rsid w:val="0089541E"/>
    <w:rsid w:val="00895DA3"/>
    <w:rsid w:val="008A0658"/>
    <w:rsid w:val="008A1960"/>
    <w:rsid w:val="008A2D4F"/>
    <w:rsid w:val="008A2F9D"/>
    <w:rsid w:val="008B13FD"/>
    <w:rsid w:val="008B1DE3"/>
    <w:rsid w:val="008B3358"/>
    <w:rsid w:val="008B4776"/>
    <w:rsid w:val="008C0C4C"/>
    <w:rsid w:val="008C3597"/>
    <w:rsid w:val="008C776A"/>
    <w:rsid w:val="008C77FB"/>
    <w:rsid w:val="008D3B44"/>
    <w:rsid w:val="008E1A8F"/>
    <w:rsid w:val="008E1AD8"/>
    <w:rsid w:val="008E5F7D"/>
    <w:rsid w:val="008F00CE"/>
    <w:rsid w:val="008F3FAB"/>
    <w:rsid w:val="0090144D"/>
    <w:rsid w:val="00902481"/>
    <w:rsid w:val="009028A6"/>
    <w:rsid w:val="00904547"/>
    <w:rsid w:val="00905FB0"/>
    <w:rsid w:val="00914450"/>
    <w:rsid w:val="0091489F"/>
    <w:rsid w:val="00915196"/>
    <w:rsid w:val="00915B72"/>
    <w:rsid w:val="00917ABC"/>
    <w:rsid w:val="00921A94"/>
    <w:rsid w:val="00923D64"/>
    <w:rsid w:val="009312D7"/>
    <w:rsid w:val="0093299C"/>
    <w:rsid w:val="00933CB4"/>
    <w:rsid w:val="00940E8F"/>
    <w:rsid w:val="009416C1"/>
    <w:rsid w:val="009423E5"/>
    <w:rsid w:val="009424A4"/>
    <w:rsid w:val="00947A01"/>
    <w:rsid w:val="00950119"/>
    <w:rsid w:val="0095249E"/>
    <w:rsid w:val="00965820"/>
    <w:rsid w:val="00972DD2"/>
    <w:rsid w:val="009752A1"/>
    <w:rsid w:val="0097730C"/>
    <w:rsid w:val="00977812"/>
    <w:rsid w:val="00981DAC"/>
    <w:rsid w:val="0098368B"/>
    <w:rsid w:val="009839EB"/>
    <w:rsid w:val="00986392"/>
    <w:rsid w:val="00992ECF"/>
    <w:rsid w:val="0099520F"/>
    <w:rsid w:val="009A1337"/>
    <w:rsid w:val="009A25B8"/>
    <w:rsid w:val="009A4AF0"/>
    <w:rsid w:val="009A4F31"/>
    <w:rsid w:val="009B1537"/>
    <w:rsid w:val="009B44F8"/>
    <w:rsid w:val="009B5DD4"/>
    <w:rsid w:val="009C35EE"/>
    <w:rsid w:val="009C4E37"/>
    <w:rsid w:val="009C55BB"/>
    <w:rsid w:val="009C6179"/>
    <w:rsid w:val="009D0211"/>
    <w:rsid w:val="009D5AD8"/>
    <w:rsid w:val="009D5B0A"/>
    <w:rsid w:val="009D7ADE"/>
    <w:rsid w:val="009E249D"/>
    <w:rsid w:val="009E2D6E"/>
    <w:rsid w:val="009E4441"/>
    <w:rsid w:val="009E75AE"/>
    <w:rsid w:val="009E7E63"/>
    <w:rsid w:val="009F08B9"/>
    <w:rsid w:val="009F1107"/>
    <w:rsid w:val="009F1820"/>
    <w:rsid w:val="009F29D7"/>
    <w:rsid w:val="009F438E"/>
    <w:rsid w:val="00A008B4"/>
    <w:rsid w:val="00A01C2E"/>
    <w:rsid w:val="00A03B6A"/>
    <w:rsid w:val="00A0402E"/>
    <w:rsid w:val="00A1280B"/>
    <w:rsid w:val="00A14D53"/>
    <w:rsid w:val="00A15662"/>
    <w:rsid w:val="00A15C32"/>
    <w:rsid w:val="00A20CFE"/>
    <w:rsid w:val="00A20F1A"/>
    <w:rsid w:val="00A221B6"/>
    <w:rsid w:val="00A26389"/>
    <w:rsid w:val="00A27BC6"/>
    <w:rsid w:val="00A33240"/>
    <w:rsid w:val="00A344A1"/>
    <w:rsid w:val="00A35958"/>
    <w:rsid w:val="00A366FD"/>
    <w:rsid w:val="00A42C7E"/>
    <w:rsid w:val="00A431A7"/>
    <w:rsid w:val="00A506DF"/>
    <w:rsid w:val="00A53794"/>
    <w:rsid w:val="00A546E1"/>
    <w:rsid w:val="00A57927"/>
    <w:rsid w:val="00A649BE"/>
    <w:rsid w:val="00A70733"/>
    <w:rsid w:val="00A71402"/>
    <w:rsid w:val="00A7208C"/>
    <w:rsid w:val="00A72A14"/>
    <w:rsid w:val="00A73806"/>
    <w:rsid w:val="00A7573F"/>
    <w:rsid w:val="00A7772D"/>
    <w:rsid w:val="00A814F6"/>
    <w:rsid w:val="00A829BC"/>
    <w:rsid w:val="00A84125"/>
    <w:rsid w:val="00A84B1A"/>
    <w:rsid w:val="00A933C9"/>
    <w:rsid w:val="00A93AB2"/>
    <w:rsid w:val="00A953A7"/>
    <w:rsid w:val="00AA1A34"/>
    <w:rsid w:val="00AA3498"/>
    <w:rsid w:val="00AB0662"/>
    <w:rsid w:val="00AB14FF"/>
    <w:rsid w:val="00AB1785"/>
    <w:rsid w:val="00AB1F0B"/>
    <w:rsid w:val="00AB2A8C"/>
    <w:rsid w:val="00AB40B4"/>
    <w:rsid w:val="00AC1B8C"/>
    <w:rsid w:val="00AD7F8C"/>
    <w:rsid w:val="00AE0C86"/>
    <w:rsid w:val="00AE1661"/>
    <w:rsid w:val="00AE2C21"/>
    <w:rsid w:val="00AE6017"/>
    <w:rsid w:val="00AE6C5C"/>
    <w:rsid w:val="00AF3564"/>
    <w:rsid w:val="00B01F04"/>
    <w:rsid w:val="00B02A6D"/>
    <w:rsid w:val="00B07C5B"/>
    <w:rsid w:val="00B1047D"/>
    <w:rsid w:val="00B122E8"/>
    <w:rsid w:val="00B127AA"/>
    <w:rsid w:val="00B164A2"/>
    <w:rsid w:val="00B168B2"/>
    <w:rsid w:val="00B21F56"/>
    <w:rsid w:val="00B231C6"/>
    <w:rsid w:val="00B278F9"/>
    <w:rsid w:val="00B32270"/>
    <w:rsid w:val="00B34016"/>
    <w:rsid w:val="00B35968"/>
    <w:rsid w:val="00B3677C"/>
    <w:rsid w:val="00B378E2"/>
    <w:rsid w:val="00B37B17"/>
    <w:rsid w:val="00B42129"/>
    <w:rsid w:val="00B43A33"/>
    <w:rsid w:val="00B43B7F"/>
    <w:rsid w:val="00B51037"/>
    <w:rsid w:val="00B51E7B"/>
    <w:rsid w:val="00B53026"/>
    <w:rsid w:val="00B57689"/>
    <w:rsid w:val="00B603AD"/>
    <w:rsid w:val="00B61579"/>
    <w:rsid w:val="00B635C9"/>
    <w:rsid w:val="00B6463A"/>
    <w:rsid w:val="00B7218B"/>
    <w:rsid w:val="00B722AF"/>
    <w:rsid w:val="00B75BDE"/>
    <w:rsid w:val="00B80467"/>
    <w:rsid w:val="00B82D02"/>
    <w:rsid w:val="00B837ED"/>
    <w:rsid w:val="00B86BEE"/>
    <w:rsid w:val="00B87EB7"/>
    <w:rsid w:val="00BA12BD"/>
    <w:rsid w:val="00BA311C"/>
    <w:rsid w:val="00BA41C2"/>
    <w:rsid w:val="00BA4821"/>
    <w:rsid w:val="00BA5F02"/>
    <w:rsid w:val="00BB0A18"/>
    <w:rsid w:val="00BB162E"/>
    <w:rsid w:val="00BB3A25"/>
    <w:rsid w:val="00BB7BF4"/>
    <w:rsid w:val="00BC25F6"/>
    <w:rsid w:val="00BC3F7A"/>
    <w:rsid w:val="00BC511B"/>
    <w:rsid w:val="00BC61B1"/>
    <w:rsid w:val="00BD1FCD"/>
    <w:rsid w:val="00BD416B"/>
    <w:rsid w:val="00BD51DB"/>
    <w:rsid w:val="00BE2AC2"/>
    <w:rsid w:val="00BE37D2"/>
    <w:rsid w:val="00BE587A"/>
    <w:rsid w:val="00BE67DF"/>
    <w:rsid w:val="00BE7377"/>
    <w:rsid w:val="00BF2703"/>
    <w:rsid w:val="00C012AE"/>
    <w:rsid w:val="00C14B7F"/>
    <w:rsid w:val="00C16C17"/>
    <w:rsid w:val="00C175C7"/>
    <w:rsid w:val="00C17C62"/>
    <w:rsid w:val="00C21FCB"/>
    <w:rsid w:val="00C22BAE"/>
    <w:rsid w:val="00C24771"/>
    <w:rsid w:val="00C27DC1"/>
    <w:rsid w:val="00C3071D"/>
    <w:rsid w:val="00C327A8"/>
    <w:rsid w:val="00C33F0D"/>
    <w:rsid w:val="00C355FA"/>
    <w:rsid w:val="00C4373D"/>
    <w:rsid w:val="00C437D5"/>
    <w:rsid w:val="00C44A4A"/>
    <w:rsid w:val="00C50F5A"/>
    <w:rsid w:val="00C540CA"/>
    <w:rsid w:val="00C5508A"/>
    <w:rsid w:val="00C6385E"/>
    <w:rsid w:val="00C64F17"/>
    <w:rsid w:val="00C66306"/>
    <w:rsid w:val="00C7027D"/>
    <w:rsid w:val="00C73A1B"/>
    <w:rsid w:val="00C80720"/>
    <w:rsid w:val="00C81BD6"/>
    <w:rsid w:val="00C84478"/>
    <w:rsid w:val="00C91732"/>
    <w:rsid w:val="00C92066"/>
    <w:rsid w:val="00C926B3"/>
    <w:rsid w:val="00C94030"/>
    <w:rsid w:val="00C94774"/>
    <w:rsid w:val="00C94AAF"/>
    <w:rsid w:val="00C94D49"/>
    <w:rsid w:val="00C97A13"/>
    <w:rsid w:val="00CA1462"/>
    <w:rsid w:val="00CA1AEA"/>
    <w:rsid w:val="00CA3213"/>
    <w:rsid w:val="00CA3F6E"/>
    <w:rsid w:val="00CA4B87"/>
    <w:rsid w:val="00CA5C02"/>
    <w:rsid w:val="00CA6B9F"/>
    <w:rsid w:val="00CB1C3C"/>
    <w:rsid w:val="00CB4596"/>
    <w:rsid w:val="00CB5C4B"/>
    <w:rsid w:val="00CB6ED1"/>
    <w:rsid w:val="00CC1279"/>
    <w:rsid w:val="00CC3220"/>
    <w:rsid w:val="00CC3840"/>
    <w:rsid w:val="00CC3C40"/>
    <w:rsid w:val="00CD1935"/>
    <w:rsid w:val="00CD1953"/>
    <w:rsid w:val="00CD2DFB"/>
    <w:rsid w:val="00CD46E7"/>
    <w:rsid w:val="00CD581F"/>
    <w:rsid w:val="00CD65F6"/>
    <w:rsid w:val="00CD7BD1"/>
    <w:rsid w:val="00CE0F1D"/>
    <w:rsid w:val="00CE0F50"/>
    <w:rsid w:val="00CE4998"/>
    <w:rsid w:val="00CE574F"/>
    <w:rsid w:val="00CE730B"/>
    <w:rsid w:val="00CF0D98"/>
    <w:rsid w:val="00CF1639"/>
    <w:rsid w:val="00CF270B"/>
    <w:rsid w:val="00CF3349"/>
    <w:rsid w:val="00CF4BB5"/>
    <w:rsid w:val="00CF78B4"/>
    <w:rsid w:val="00D019E9"/>
    <w:rsid w:val="00D02B3A"/>
    <w:rsid w:val="00D02EA8"/>
    <w:rsid w:val="00D03ECB"/>
    <w:rsid w:val="00D13A57"/>
    <w:rsid w:val="00D1672C"/>
    <w:rsid w:val="00D21C61"/>
    <w:rsid w:val="00D21E78"/>
    <w:rsid w:val="00D22C88"/>
    <w:rsid w:val="00D3009C"/>
    <w:rsid w:val="00D316E1"/>
    <w:rsid w:val="00D319A7"/>
    <w:rsid w:val="00D4012C"/>
    <w:rsid w:val="00D43863"/>
    <w:rsid w:val="00D45764"/>
    <w:rsid w:val="00D46E0C"/>
    <w:rsid w:val="00D51614"/>
    <w:rsid w:val="00D5427D"/>
    <w:rsid w:val="00D60F7D"/>
    <w:rsid w:val="00D71477"/>
    <w:rsid w:val="00D73428"/>
    <w:rsid w:val="00D75292"/>
    <w:rsid w:val="00D770D9"/>
    <w:rsid w:val="00D77AF3"/>
    <w:rsid w:val="00D81C67"/>
    <w:rsid w:val="00D87744"/>
    <w:rsid w:val="00D87C85"/>
    <w:rsid w:val="00D94028"/>
    <w:rsid w:val="00D94289"/>
    <w:rsid w:val="00DA0DFE"/>
    <w:rsid w:val="00DA361F"/>
    <w:rsid w:val="00DA5E05"/>
    <w:rsid w:val="00DA637C"/>
    <w:rsid w:val="00DA6A71"/>
    <w:rsid w:val="00DA7050"/>
    <w:rsid w:val="00DB0BFE"/>
    <w:rsid w:val="00DB62E1"/>
    <w:rsid w:val="00DC7667"/>
    <w:rsid w:val="00DC78D0"/>
    <w:rsid w:val="00DD0F5A"/>
    <w:rsid w:val="00DD36C3"/>
    <w:rsid w:val="00DD5991"/>
    <w:rsid w:val="00DE4965"/>
    <w:rsid w:val="00DE7782"/>
    <w:rsid w:val="00DF0BC7"/>
    <w:rsid w:val="00DF32AC"/>
    <w:rsid w:val="00DF3C5A"/>
    <w:rsid w:val="00DF41D8"/>
    <w:rsid w:val="00DF4AD8"/>
    <w:rsid w:val="00E10213"/>
    <w:rsid w:val="00E10E0E"/>
    <w:rsid w:val="00E14075"/>
    <w:rsid w:val="00E1555E"/>
    <w:rsid w:val="00E17D7A"/>
    <w:rsid w:val="00E30A91"/>
    <w:rsid w:val="00E32818"/>
    <w:rsid w:val="00E35742"/>
    <w:rsid w:val="00E4209A"/>
    <w:rsid w:val="00E4384D"/>
    <w:rsid w:val="00E441A6"/>
    <w:rsid w:val="00E44A29"/>
    <w:rsid w:val="00E45369"/>
    <w:rsid w:val="00E460AC"/>
    <w:rsid w:val="00E46607"/>
    <w:rsid w:val="00E46B25"/>
    <w:rsid w:val="00E47102"/>
    <w:rsid w:val="00E47B39"/>
    <w:rsid w:val="00E549D8"/>
    <w:rsid w:val="00E5692A"/>
    <w:rsid w:val="00E61C46"/>
    <w:rsid w:val="00E63E9D"/>
    <w:rsid w:val="00E67FA1"/>
    <w:rsid w:val="00E709F4"/>
    <w:rsid w:val="00E7459A"/>
    <w:rsid w:val="00E80549"/>
    <w:rsid w:val="00E82317"/>
    <w:rsid w:val="00E8527A"/>
    <w:rsid w:val="00E915C2"/>
    <w:rsid w:val="00E9261E"/>
    <w:rsid w:val="00E95D11"/>
    <w:rsid w:val="00E977D9"/>
    <w:rsid w:val="00EA1219"/>
    <w:rsid w:val="00EA310C"/>
    <w:rsid w:val="00EA6BD8"/>
    <w:rsid w:val="00EB1AA6"/>
    <w:rsid w:val="00EC0318"/>
    <w:rsid w:val="00EC164D"/>
    <w:rsid w:val="00EC20E1"/>
    <w:rsid w:val="00EC2368"/>
    <w:rsid w:val="00EC4A02"/>
    <w:rsid w:val="00EC4DD4"/>
    <w:rsid w:val="00ED1107"/>
    <w:rsid w:val="00ED142E"/>
    <w:rsid w:val="00ED354B"/>
    <w:rsid w:val="00ED6668"/>
    <w:rsid w:val="00ED672B"/>
    <w:rsid w:val="00ED718E"/>
    <w:rsid w:val="00EE03B5"/>
    <w:rsid w:val="00EE1457"/>
    <w:rsid w:val="00EF04F6"/>
    <w:rsid w:val="00EF0608"/>
    <w:rsid w:val="00EF2292"/>
    <w:rsid w:val="00EF5C71"/>
    <w:rsid w:val="00F0329D"/>
    <w:rsid w:val="00F04203"/>
    <w:rsid w:val="00F0594C"/>
    <w:rsid w:val="00F066E2"/>
    <w:rsid w:val="00F1074F"/>
    <w:rsid w:val="00F11AC3"/>
    <w:rsid w:val="00F12109"/>
    <w:rsid w:val="00F12702"/>
    <w:rsid w:val="00F16B63"/>
    <w:rsid w:val="00F201AC"/>
    <w:rsid w:val="00F21969"/>
    <w:rsid w:val="00F21F35"/>
    <w:rsid w:val="00F21FBA"/>
    <w:rsid w:val="00F228E4"/>
    <w:rsid w:val="00F22FDD"/>
    <w:rsid w:val="00F30D9C"/>
    <w:rsid w:val="00F322E4"/>
    <w:rsid w:val="00F56A33"/>
    <w:rsid w:val="00F570C3"/>
    <w:rsid w:val="00F57C04"/>
    <w:rsid w:val="00F63526"/>
    <w:rsid w:val="00F65CB9"/>
    <w:rsid w:val="00F67735"/>
    <w:rsid w:val="00F678A0"/>
    <w:rsid w:val="00F718ED"/>
    <w:rsid w:val="00F720EE"/>
    <w:rsid w:val="00F72C5B"/>
    <w:rsid w:val="00F72C5C"/>
    <w:rsid w:val="00F7695A"/>
    <w:rsid w:val="00F779F1"/>
    <w:rsid w:val="00F8277D"/>
    <w:rsid w:val="00F832AA"/>
    <w:rsid w:val="00F84A12"/>
    <w:rsid w:val="00F85D6E"/>
    <w:rsid w:val="00F9627D"/>
    <w:rsid w:val="00F97A21"/>
    <w:rsid w:val="00FA142A"/>
    <w:rsid w:val="00FA1649"/>
    <w:rsid w:val="00FA4D1E"/>
    <w:rsid w:val="00FA7EF7"/>
    <w:rsid w:val="00FB1810"/>
    <w:rsid w:val="00FC06FE"/>
    <w:rsid w:val="00FC27EC"/>
    <w:rsid w:val="00FC3369"/>
    <w:rsid w:val="00FC4636"/>
    <w:rsid w:val="00FC55FC"/>
    <w:rsid w:val="00FD5B5E"/>
    <w:rsid w:val="00FD6490"/>
    <w:rsid w:val="00FE1674"/>
    <w:rsid w:val="00FE3B14"/>
    <w:rsid w:val="00FF374A"/>
    <w:rsid w:val="00FF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43504"/>
  <w15:docId w15:val="{F66E4B68-083E-4DE3-B860-924F9E5E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005"/>
    <w:rPr>
      <w:sz w:val="24"/>
      <w:szCs w:val="24"/>
      <w:lang w:eastAsia="en-US"/>
    </w:rPr>
  </w:style>
  <w:style w:type="paragraph" w:styleId="Titolo1">
    <w:name w:val="heading 1"/>
    <w:basedOn w:val="Normale"/>
    <w:next w:val="Normale"/>
    <w:link w:val="Titolo1Carattere"/>
    <w:qFormat/>
    <w:rsid w:val="009A4AF0"/>
    <w:pPr>
      <w:keepNext/>
      <w:widowControl w:val="0"/>
      <w:numPr>
        <w:numId w:val="1"/>
      </w:numPr>
      <w:spacing w:line="240" w:lineRule="atLeast"/>
      <w:ind w:right="-710"/>
      <w:outlineLvl w:val="0"/>
    </w:pPr>
    <w:rPr>
      <w:rFonts w:ascii="Arial Narrow" w:eastAsia="Times New Roman" w:hAnsi="Arial Narrow" w:cs="Times New Roman"/>
      <w:b/>
      <w:szCs w:val="20"/>
      <w:lang w:val="x-none" w:eastAsia="x-none"/>
    </w:rPr>
  </w:style>
  <w:style w:type="paragraph" w:styleId="Titolo2">
    <w:name w:val="heading 2"/>
    <w:basedOn w:val="Normale"/>
    <w:next w:val="Normale"/>
    <w:link w:val="Titolo2Carattere"/>
    <w:uiPriority w:val="9"/>
    <w:qFormat/>
    <w:rsid w:val="003D75BA"/>
    <w:pPr>
      <w:keepNext/>
      <w:spacing w:before="240" w:after="60"/>
      <w:outlineLvl w:val="1"/>
    </w:pPr>
    <w:rPr>
      <w:rFonts w:ascii="Cambria" w:eastAsia="Times New Roman" w:hAnsi="Cambria" w:cs="Times New Roman"/>
      <w:b/>
      <w:bCs/>
      <w:i/>
      <w:iCs/>
      <w:sz w:val="28"/>
      <w:szCs w:val="28"/>
      <w:lang w:val="x-none"/>
    </w:rPr>
  </w:style>
  <w:style w:type="paragraph" w:styleId="Titolo3">
    <w:name w:val="heading 3"/>
    <w:basedOn w:val="Normale"/>
    <w:next w:val="Normale"/>
    <w:link w:val="Titolo3Carattere"/>
    <w:uiPriority w:val="9"/>
    <w:qFormat/>
    <w:rsid w:val="00D316E1"/>
    <w:pPr>
      <w:keepNext/>
      <w:spacing w:before="240" w:after="60"/>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F04203"/>
    <w:rPr>
      <w:color w:val="0000FF"/>
      <w:u w:val="single"/>
    </w:rPr>
  </w:style>
  <w:style w:type="paragraph" w:styleId="Testofumetto">
    <w:name w:val="Balloon Text"/>
    <w:basedOn w:val="Normale"/>
    <w:link w:val="TestofumettoCarattere"/>
    <w:uiPriority w:val="99"/>
    <w:semiHidden/>
    <w:unhideWhenUsed/>
    <w:rsid w:val="00F04203"/>
    <w:pPr>
      <w:jc w:val="both"/>
    </w:pPr>
    <w:rPr>
      <w:rFonts w:ascii="Tahoma" w:hAnsi="Tahoma" w:cs="Times New Roman"/>
      <w:b/>
      <w:sz w:val="16"/>
      <w:szCs w:val="16"/>
      <w:lang w:val="x-none" w:eastAsia="x-none"/>
    </w:rPr>
  </w:style>
  <w:style w:type="character" w:customStyle="1" w:styleId="TestofumettoCarattere">
    <w:name w:val="Testo fumetto Carattere"/>
    <w:link w:val="Testofumetto"/>
    <w:uiPriority w:val="99"/>
    <w:semiHidden/>
    <w:rsid w:val="00F04203"/>
    <w:rPr>
      <w:rFonts w:ascii="Tahoma" w:hAnsi="Tahoma" w:cs="Tahoma"/>
      <w:b/>
      <w:sz w:val="16"/>
      <w:szCs w:val="16"/>
    </w:rPr>
  </w:style>
  <w:style w:type="paragraph" w:styleId="Intestazione">
    <w:name w:val="header"/>
    <w:basedOn w:val="Normale"/>
    <w:link w:val="Intestazione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IntestazioneCarattere">
    <w:name w:val="Intestazione Carattere"/>
    <w:link w:val="Intestazione"/>
    <w:uiPriority w:val="99"/>
    <w:rsid w:val="00CE4998"/>
    <w:rPr>
      <w:b/>
    </w:rPr>
  </w:style>
  <w:style w:type="paragraph" w:styleId="Pidipagina">
    <w:name w:val="footer"/>
    <w:basedOn w:val="Normale"/>
    <w:link w:val="Pidipagina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PidipaginaCarattere">
    <w:name w:val="Piè di pagina Carattere"/>
    <w:link w:val="Pidipagina"/>
    <w:uiPriority w:val="99"/>
    <w:rsid w:val="00CE4998"/>
    <w:rPr>
      <w:b/>
    </w:rPr>
  </w:style>
  <w:style w:type="paragraph" w:customStyle="1" w:styleId="Elencoacolori-Colore11">
    <w:name w:val="Elenco a colori - Colore 11"/>
    <w:basedOn w:val="Normale"/>
    <w:uiPriority w:val="34"/>
    <w:qFormat/>
    <w:rsid w:val="00B635C9"/>
    <w:pPr>
      <w:ind w:left="720"/>
      <w:contextualSpacing/>
      <w:jc w:val="both"/>
    </w:pPr>
  </w:style>
  <w:style w:type="table" w:styleId="Grigliatabella">
    <w:name w:val="Table Grid"/>
    <w:basedOn w:val="Tabellanormale"/>
    <w:uiPriority w:val="59"/>
    <w:rsid w:val="00B6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A20CFE"/>
    <w:pPr>
      <w:widowControl w:val="0"/>
      <w:spacing w:after="120"/>
      <w:ind w:left="283"/>
    </w:pPr>
    <w:rPr>
      <w:rFonts w:ascii="Times New Roman" w:eastAsia="Times New Roman" w:hAnsi="Times New Roman" w:cs="Times New Roman"/>
      <w:sz w:val="20"/>
      <w:szCs w:val="20"/>
      <w:lang w:val="x-none" w:eastAsia="it-IT"/>
    </w:rPr>
  </w:style>
  <w:style w:type="character" w:customStyle="1" w:styleId="RientrocorpodeltestoCarattere">
    <w:name w:val="Rientro corpo del testo Carattere"/>
    <w:link w:val="Rientrocorpodeltesto"/>
    <w:rsid w:val="00A20CF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A20CFE"/>
    <w:pPr>
      <w:tabs>
        <w:tab w:val="left" w:pos="567"/>
      </w:tabs>
      <w:spacing w:after="120"/>
      <w:jc w:val="both"/>
    </w:pPr>
    <w:rPr>
      <w:rFonts w:ascii="Times New Roman" w:eastAsia="Times New Roman" w:hAnsi="Times New Roman" w:cs="Times New Roman"/>
      <w:sz w:val="22"/>
      <w:szCs w:val="20"/>
      <w:lang w:val="x-none" w:eastAsia="it-IT"/>
    </w:rPr>
  </w:style>
  <w:style w:type="character" w:customStyle="1" w:styleId="Corpodeltesto2Carattere">
    <w:name w:val="Corpo del testo 2 Carattere"/>
    <w:link w:val="Corpodeltesto2"/>
    <w:rsid w:val="00A20CFE"/>
    <w:rPr>
      <w:rFonts w:ascii="Times New Roman" w:eastAsia="Times New Roman" w:hAnsi="Times New Roman" w:cs="Times New Roman"/>
      <w:sz w:val="22"/>
      <w:lang w:eastAsia="it-IT"/>
    </w:rPr>
  </w:style>
  <w:style w:type="paragraph" w:customStyle="1" w:styleId="Rientrocorpodeltesto21">
    <w:name w:val="Rientro corpo del testo 21"/>
    <w:basedOn w:val="Normale"/>
    <w:rsid w:val="00A20CFE"/>
    <w:pPr>
      <w:widowControl w:val="0"/>
      <w:ind w:firstLine="284"/>
      <w:jc w:val="both"/>
    </w:pPr>
    <w:rPr>
      <w:sz w:val="22"/>
      <w:szCs w:val="20"/>
    </w:rPr>
  </w:style>
  <w:style w:type="paragraph" w:styleId="PreformattatoHTML">
    <w:name w:val="HTML Preformatted"/>
    <w:basedOn w:val="Normale"/>
    <w:link w:val="PreformattatoHTMLCarattere"/>
    <w:uiPriority w:val="99"/>
    <w:semiHidden/>
    <w:unhideWhenUsed/>
    <w:rsid w:val="007D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it-IT"/>
    </w:rPr>
  </w:style>
  <w:style w:type="character" w:customStyle="1" w:styleId="PreformattatoHTMLCarattere">
    <w:name w:val="Preformattato HTML Carattere"/>
    <w:link w:val="PreformattatoHTML"/>
    <w:uiPriority w:val="99"/>
    <w:semiHidden/>
    <w:rsid w:val="007D4D7A"/>
    <w:rPr>
      <w:rFonts w:ascii="Courier New" w:eastAsia="Times New Roman" w:hAnsi="Courier New" w:cs="Courier New"/>
      <w:color w:val="000000"/>
      <w:sz w:val="20"/>
      <w:szCs w:val="20"/>
      <w:lang w:eastAsia="it-IT"/>
    </w:rPr>
  </w:style>
  <w:style w:type="paragraph" w:customStyle="1" w:styleId="Corpotesto1">
    <w:name w:val="Corpo testo1"/>
    <w:basedOn w:val="Normale"/>
    <w:link w:val="CorpodeltestoCarattere"/>
    <w:qFormat/>
    <w:rsid w:val="00A27BC6"/>
    <w:pPr>
      <w:widowControl w:val="0"/>
      <w:spacing w:line="480" w:lineRule="auto"/>
      <w:jc w:val="both"/>
    </w:pPr>
    <w:rPr>
      <w:szCs w:val="20"/>
      <w:lang w:bidi="he-IL"/>
    </w:rPr>
  </w:style>
  <w:style w:type="paragraph" w:styleId="Corpotesto">
    <w:name w:val="Body Text"/>
    <w:basedOn w:val="Normale"/>
    <w:link w:val="CorpotestoCarattere"/>
    <w:uiPriority w:val="99"/>
    <w:unhideWhenUsed/>
    <w:rsid w:val="00536803"/>
    <w:pPr>
      <w:spacing w:after="120"/>
    </w:pPr>
    <w:rPr>
      <w:rFonts w:ascii="Times New Roman" w:eastAsia="Times New Roman" w:hAnsi="Times New Roman" w:cs="Times New Roman"/>
      <w:sz w:val="20"/>
      <w:szCs w:val="20"/>
      <w:lang w:val="x-none" w:eastAsia="it-IT"/>
    </w:rPr>
  </w:style>
  <w:style w:type="character" w:customStyle="1" w:styleId="CorpotestoCarattere">
    <w:name w:val="Corpo testo Carattere"/>
    <w:link w:val="Corpotesto"/>
    <w:uiPriority w:val="99"/>
    <w:rsid w:val="00536803"/>
    <w:rPr>
      <w:rFonts w:ascii="Times New Roman" w:eastAsia="Times New Roman" w:hAnsi="Times New Roman" w:cs="Times New Roman"/>
      <w:lang w:eastAsia="it-IT"/>
    </w:rPr>
  </w:style>
  <w:style w:type="paragraph" w:styleId="Titolo">
    <w:name w:val="Title"/>
    <w:basedOn w:val="Normale"/>
    <w:link w:val="TitoloCarattere"/>
    <w:qFormat/>
    <w:rsid w:val="00536803"/>
    <w:pPr>
      <w:jc w:val="center"/>
    </w:pPr>
    <w:rPr>
      <w:rFonts w:ascii="Tahoma" w:eastAsia="Times New Roman" w:hAnsi="Tahoma" w:cs="Times New Roman"/>
      <w:b/>
      <w:sz w:val="28"/>
      <w:szCs w:val="20"/>
      <w:lang w:val="x-none" w:eastAsia="it-IT"/>
    </w:rPr>
  </w:style>
  <w:style w:type="character" w:customStyle="1" w:styleId="TitoloCarattere">
    <w:name w:val="Titolo Carattere"/>
    <w:link w:val="Titolo"/>
    <w:rsid w:val="00536803"/>
    <w:rPr>
      <w:rFonts w:ascii="Tahoma" w:eastAsia="Times New Roman" w:hAnsi="Tahoma" w:cs="Times New Roman"/>
      <w:b/>
      <w:sz w:val="28"/>
      <w:szCs w:val="20"/>
      <w:lang w:eastAsia="it-IT"/>
    </w:rPr>
  </w:style>
  <w:style w:type="paragraph" w:styleId="Sottotitolo">
    <w:name w:val="Subtitle"/>
    <w:basedOn w:val="Normale"/>
    <w:link w:val="SottotitoloCarattere"/>
    <w:qFormat/>
    <w:rsid w:val="00536803"/>
    <w:rPr>
      <w:rFonts w:ascii="Tahoma" w:eastAsia="Times New Roman" w:hAnsi="Tahoma" w:cs="Times New Roman"/>
      <w:b/>
      <w:sz w:val="22"/>
      <w:szCs w:val="20"/>
      <w:lang w:val="x-none" w:eastAsia="it-IT"/>
    </w:rPr>
  </w:style>
  <w:style w:type="character" w:customStyle="1" w:styleId="SottotitoloCarattere">
    <w:name w:val="Sottotitolo Carattere"/>
    <w:link w:val="Sottotitolo"/>
    <w:rsid w:val="00536803"/>
    <w:rPr>
      <w:rFonts w:ascii="Tahoma" w:eastAsia="Times New Roman" w:hAnsi="Tahoma" w:cs="Times New Roman"/>
      <w:b/>
      <w:sz w:val="22"/>
      <w:szCs w:val="20"/>
      <w:lang w:eastAsia="it-IT"/>
    </w:rPr>
  </w:style>
  <w:style w:type="character" w:customStyle="1" w:styleId="estremosel">
    <w:name w:val="estremosel"/>
    <w:basedOn w:val="Carpredefinitoparagrafo"/>
    <w:rsid w:val="00F84A12"/>
  </w:style>
  <w:style w:type="character" w:customStyle="1" w:styleId="Titolo1Carattere">
    <w:name w:val="Titolo 1 Carattere"/>
    <w:link w:val="Titolo1"/>
    <w:rsid w:val="009A4AF0"/>
    <w:rPr>
      <w:rFonts w:ascii="Arial Narrow" w:eastAsia="Times New Roman" w:hAnsi="Arial Narrow" w:cs="Times New Roman"/>
      <w:b/>
      <w:sz w:val="24"/>
      <w:lang w:val="x-none" w:eastAsia="x-none"/>
    </w:rPr>
  </w:style>
  <w:style w:type="paragraph" w:styleId="Testonotaapidipagina">
    <w:name w:val="footnote text"/>
    <w:aliases w:val="Schriftart: 9 pt,Schriftart: 10 pt,Schriftart: 8 pt,WB-Fußnotentext,fn,Footnotes,Footnote ak Char"/>
    <w:basedOn w:val="Normale"/>
    <w:link w:val="TestonotaapidipaginaCarattere"/>
    <w:uiPriority w:val="99"/>
    <w:rsid w:val="00360E6C"/>
    <w:pPr>
      <w:spacing w:before="40"/>
      <w:ind w:left="340" w:hanging="340"/>
      <w:jc w:val="both"/>
    </w:pPr>
    <w:rPr>
      <w:rFonts w:eastAsia="Times New Roman" w:cs="Times New Roman"/>
      <w:sz w:val="16"/>
      <w:szCs w:val="20"/>
      <w:lang w:val="x-none" w:eastAsia="de-DE"/>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har Carattere"/>
    <w:link w:val="Testonotaapidipagina"/>
    <w:uiPriority w:val="99"/>
    <w:rsid w:val="00360E6C"/>
    <w:rPr>
      <w:rFonts w:eastAsia="Times New Roman" w:cs="Times New Roman"/>
      <w:sz w:val="16"/>
      <w:lang w:eastAsia="de-DE"/>
    </w:rPr>
  </w:style>
  <w:style w:type="character" w:styleId="Rimandonotaapidipagina">
    <w:name w:val="footnote reference"/>
    <w:uiPriority w:val="99"/>
    <w:rsid w:val="00360E6C"/>
    <w:rPr>
      <w:rFonts w:ascii="Bodoni MT" w:hAnsi="Bodoni MT"/>
      <w:color w:val="auto"/>
      <w:sz w:val="22"/>
      <w:vertAlign w:val="superscript"/>
    </w:rPr>
  </w:style>
  <w:style w:type="character" w:customStyle="1" w:styleId="hps">
    <w:name w:val="hps"/>
    <w:rsid w:val="00EE03B5"/>
  </w:style>
  <w:style w:type="character" w:customStyle="1" w:styleId="atn">
    <w:name w:val="atn"/>
    <w:rsid w:val="00EE03B5"/>
  </w:style>
  <w:style w:type="paragraph" w:customStyle="1" w:styleId="Tabellagriglia31">
    <w:name w:val="Tabella griglia 31"/>
    <w:basedOn w:val="Titolo1"/>
    <w:next w:val="Normale"/>
    <w:uiPriority w:val="39"/>
    <w:semiHidden/>
    <w:unhideWhenUsed/>
    <w:qFormat/>
    <w:rsid w:val="009A4AF0"/>
    <w:pPr>
      <w:keepLines/>
      <w:widowControl/>
      <w:spacing w:before="480" w:line="276" w:lineRule="auto"/>
      <w:ind w:right="0"/>
      <w:outlineLvl w:val="9"/>
    </w:pPr>
    <w:rPr>
      <w:rFonts w:ascii="Cambria" w:hAnsi="Cambria"/>
      <w:bCs/>
      <w:color w:val="365F91"/>
      <w:sz w:val="28"/>
      <w:szCs w:val="28"/>
      <w:lang w:val="it-IT"/>
    </w:rPr>
  </w:style>
  <w:style w:type="paragraph" w:customStyle="1" w:styleId="Elencoacolori-Colore12">
    <w:name w:val="Elenco a colori - Colore 12"/>
    <w:basedOn w:val="Normale"/>
    <w:uiPriority w:val="34"/>
    <w:qFormat/>
    <w:rsid w:val="009A4AF0"/>
    <w:pPr>
      <w:ind w:left="708"/>
    </w:pPr>
  </w:style>
  <w:style w:type="paragraph" w:styleId="Indice1">
    <w:name w:val="index 1"/>
    <w:basedOn w:val="Normale"/>
    <w:next w:val="Normale"/>
    <w:autoRedefine/>
    <w:uiPriority w:val="99"/>
    <w:semiHidden/>
    <w:unhideWhenUsed/>
    <w:rsid w:val="007120C0"/>
    <w:pPr>
      <w:ind w:left="240" w:hanging="240"/>
    </w:pPr>
  </w:style>
  <w:style w:type="paragraph" w:styleId="Sommario1">
    <w:name w:val="toc 1"/>
    <w:basedOn w:val="Normale"/>
    <w:next w:val="Normale"/>
    <w:autoRedefine/>
    <w:uiPriority w:val="39"/>
    <w:unhideWhenUsed/>
    <w:rsid w:val="00241C57"/>
  </w:style>
  <w:style w:type="character" w:customStyle="1" w:styleId="Titolo2Carattere">
    <w:name w:val="Titolo 2 Carattere"/>
    <w:link w:val="Titolo2"/>
    <w:uiPriority w:val="9"/>
    <w:rsid w:val="003D75BA"/>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D316E1"/>
    <w:rPr>
      <w:rFonts w:ascii="Calibri Light" w:eastAsia="Times New Roman" w:hAnsi="Calibri Light" w:cs="Times New Roman"/>
      <w:b/>
      <w:bCs/>
      <w:sz w:val="26"/>
      <w:szCs w:val="26"/>
      <w:lang w:eastAsia="en-US"/>
    </w:rPr>
  </w:style>
  <w:style w:type="paragraph" w:styleId="Paragrafoelenco">
    <w:name w:val="List Paragraph"/>
    <w:aliases w:val="Γράφημα,Bullet21,Bullet22,Bullet23,Bullet211,Bullet24,Bullet25,Bullet26,Bullet27,bl11,Bullet212,Bullet28,bl12,Bullet213,Bullet29,bl13,Bullet214,Bullet210,Bullet215,FooterText,numbered,列出段落"/>
    <w:basedOn w:val="Normale"/>
    <w:link w:val="ParagrafoelencoCarattere"/>
    <w:uiPriority w:val="34"/>
    <w:qFormat/>
    <w:rsid w:val="00796EFE"/>
    <w:pPr>
      <w:ind w:left="720"/>
      <w:contextualSpacing/>
      <w:jc w:val="both"/>
    </w:pPr>
  </w:style>
  <w:style w:type="character" w:styleId="Enfasigrassetto">
    <w:name w:val="Strong"/>
    <w:uiPriority w:val="22"/>
    <w:qFormat/>
    <w:rsid w:val="00796EFE"/>
    <w:rPr>
      <w:b/>
      <w:bCs/>
    </w:rPr>
  </w:style>
  <w:style w:type="paragraph" w:styleId="Testonormale">
    <w:name w:val="Plain Text"/>
    <w:basedOn w:val="Normale"/>
    <w:link w:val="TestonormaleCarattere"/>
    <w:uiPriority w:val="99"/>
    <w:semiHidden/>
    <w:unhideWhenUsed/>
    <w:rsid w:val="00350A49"/>
    <w:rPr>
      <w:rFonts w:ascii="Calibri" w:eastAsiaTheme="minorHAnsi" w:hAnsi="Calibri" w:cstheme="minorBidi"/>
      <w:sz w:val="22"/>
      <w:szCs w:val="21"/>
    </w:rPr>
  </w:style>
  <w:style w:type="character" w:customStyle="1" w:styleId="TestonormaleCarattere">
    <w:name w:val="Testo normale Carattere"/>
    <w:basedOn w:val="Carpredefinitoparagrafo"/>
    <w:link w:val="Testonormale"/>
    <w:uiPriority w:val="99"/>
    <w:semiHidden/>
    <w:rsid w:val="00350A49"/>
    <w:rPr>
      <w:rFonts w:ascii="Calibri" w:eastAsiaTheme="minorHAnsi" w:hAnsi="Calibri" w:cstheme="minorBidi"/>
      <w:sz w:val="22"/>
      <w:szCs w:val="21"/>
      <w:lang w:eastAsia="en-US"/>
    </w:rPr>
  </w:style>
  <w:style w:type="paragraph" w:styleId="NormaleWeb">
    <w:name w:val="Normal (Web)"/>
    <w:basedOn w:val="Normale"/>
    <w:uiPriority w:val="99"/>
    <w:unhideWhenUsed/>
    <w:rsid w:val="00E46B25"/>
    <w:pPr>
      <w:spacing w:before="100" w:beforeAutospacing="1" w:after="100" w:afterAutospacing="1"/>
    </w:pPr>
    <w:rPr>
      <w:rFonts w:ascii="Times New Roman" w:eastAsiaTheme="minorHAnsi" w:hAnsi="Times New Roman" w:cs="Times New Roman"/>
      <w:lang w:eastAsia="it-IT"/>
    </w:rPr>
  </w:style>
  <w:style w:type="character" w:styleId="Menzionenonrisolta">
    <w:name w:val="Unresolved Mention"/>
    <w:basedOn w:val="Carpredefinitoparagrafo"/>
    <w:uiPriority w:val="99"/>
    <w:semiHidden/>
    <w:unhideWhenUsed/>
    <w:rsid w:val="00655E19"/>
    <w:rPr>
      <w:color w:val="605E5C"/>
      <w:shd w:val="clear" w:color="auto" w:fill="E1DFDD"/>
    </w:rPr>
  </w:style>
  <w:style w:type="paragraph" w:customStyle="1" w:styleId="a">
    <w:basedOn w:val="Normale"/>
    <w:next w:val="Corpotesto"/>
    <w:rsid w:val="003C4FFC"/>
    <w:pPr>
      <w:jc w:val="both"/>
    </w:pPr>
    <w:rPr>
      <w:rFonts w:ascii="Verdana" w:eastAsia="Times New Roman" w:hAnsi="Verdana" w:cs="Times New Roman"/>
      <w:szCs w:val="20"/>
      <w:lang w:eastAsia="it-IT"/>
    </w:rPr>
  </w:style>
  <w:style w:type="paragraph" w:customStyle="1" w:styleId="Default">
    <w:name w:val="Default"/>
    <w:rsid w:val="00A008B4"/>
    <w:pPr>
      <w:autoSpaceDE w:val="0"/>
      <w:autoSpaceDN w:val="0"/>
      <w:adjustRightInd w:val="0"/>
    </w:pPr>
    <w:rPr>
      <w:rFonts w:ascii="Calibri" w:eastAsiaTheme="minorHAnsi" w:hAnsi="Calibri" w:cs="Calibri"/>
      <w:color w:val="000000"/>
      <w:sz w:val="24"/>
      <w:szCs w:val="24"/>
      <w:lang w:eastAsia="en-US"/>
    </w:rPr>
  </w:style>
  <w:style w:type="character" w:customStyle="1" w:styleId="ParagrafoelencoCarattere">
    <w:name w:val="Paragrafo elenco Carattere"/>
    <w:aliases w:val="Γράφημα Carattere,Bullet21 Carattere,Bullet22 Carattere,Bullet23 Carattere,Bullet211 Carattere,Bullet24 Carattere,Bullet25 Carattere,Bullet26 Carattere,Bullet27 Carattere,bl11 Carattere,Bullet212 Carattere,Bullet28 Carattere"/>
    <w:basedOn w:val="Carpredefinitoparagrafo"/>
    <w:link w:val="Paragrafoelenco"/>
    <w:uiPriority w:val="34"/>
    <w:locked/>
    <w:rsid w:val="00DE4965"/>
    <w:rPr>
      <w:sz w:val="24"/>
      <w:szCs w:val="24"/>
      <w:lang w:eastAsia="en-US"/>
    </w:rPr>
  </w:style>
  <w:style w:type="paragraph" w:customStyle="1" w:styleId="Stile1">
    <w:name w:val="Stile1"/>
    <w:basedOn w:val="Normale"/>
    <w:rsid w:val="00147F8C"/>
    <w:pPr>
      <w:jc w:val="both"/>
    </w:pPr>
    <w:rPr>
      <w:rFonts w:ascii="New York" w:eastAsia="Times New Roman" w:hAnsi="New York" w:cs="Times New Roman"/>
      <w:szCs w:val="20"/>
      <w:lang w:eastAsia="it-IT"/>
    </w:rPr>
  </w:style>
  <w:style w:type="paragraph" w:customStyle="1" w:styleId="TableParagraph">
    <w:name w:val="Table Paragraph"/>
    <w:basedOn w:val="Normale"/>
    <w:uiPriority w:val="1"/>
    <w:qFormat/>
    <w:rsid w:val="00DA637C"/>
    <w:pPr>
      <w:widowControl w:val="0"/>
      <w:autoSpaceDE w:val="0"/>
      <w:autoSpaceDN w:val="0"/>
      <w:ind w:left="107"/>
    </w:pPr>
    <w:rPr>
      <w:rFonts w:eastAsia="Arial"/>
      <w:sz w:val="22"/>
      <w:szCs w:val="22"/>
      <w:lang w:eastAsia="it-IT" w:bidi="it-IT"/>
    </w:rPr>
  </w:style>
  <w:style w:type="paragraph" w:customStyle="1" w:styleId="Oggetto">
    <w:name w:val="Oggetto"/>
    <w:basedOn w:val="Normale"/>
    <w:qFormat/>
    <w:rsid w:val="00632B86"/>
    <w:pPr>
      <w:autoSpaceDE w:val="0"/>
      <w:autoSpaceDN w:val="0"/>
      <w:adjustRightInd w:val="0"/>
      <w:spacing w:before="60"/>
      <w:jc w:val="both"/>
    </w:pPr>
    <w:rPr>
      <w:rFonts w:ascii="Trebuchet MS" w:eastAsia="Times New Roman" w:hAnsi="Trebuchet MS" w:cs="Calibri,Bold"/>
      <w:b/>
      <w:bCs/>
      <w:color w:val="1C1C1C"/>
      <w:sz w:val="20"/>
      <w:szCs w:val="20"/>
      <w:lang w:eastAsia="it-IT"/>
    </w:rPr>
  </w:style>
  <w:style w:type="paragraph" w:customStyle="1" w:styleId="Corpodeltesto">
    <w:name w:val="Corpo del testo"/>
    <w:basedOn w:val="Normale"/>
    <w:rsid w:val="00ED672B"/>
    <w:pPr>
      <w:jc w:val="both"/>
    </w:pPr>
    <w:rPr>
      <w:rFonts w:ascii="Verdana" w:eastAsia="Times New Roman" w:hAnsi="Verdana" w:cs="Times New Roman"/>
      <w:sz w:val="20"/>
      <w:szCs w:val="20"/>
      <w:lang w:eastAsia="it-IT"/>
    </w:rPr>
  </w:style>
  <w:style w:type="character" w:customStyle="1" w:styleId="CorpodeltestoCarattere">
    <w:name w:val="Corpo del testo Carattere"/>
    <w:basedOn w:val="Carpredefinitoparagrafo"/>
    <w:link w:val="Corpotesto1"/>
    <w:qFormat/>
    <w:rsid w:val="00326D03"/>
    <w:rPr>
      <w:sz w:val="24"/>
      <w:lang w:eastAsia="en-US" w:bidi="he-IL"/>
    </w:rPr>
  </w:style>
  <w:style w:type="paragraph" w:customStyle="1" w:styleId="Standard">
    <w:name w:val="Standard"/>
    <w:qFormat/>
    <w:rsid w:val="000077AE"/>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686">
      <w:bodyDiv w:val="1"/>
      <w:marLeft w:val="0"/>
      <w:marRight w:val="0"/>
      <w:marTop w:val="0"/>
      <w:marBottom w:val="0"/>
      <w:divBdr>
        <w:top w:val="none" w:sz="0" w:space="0" w:color="auto"/>
        <w:left w:val="none" w:sz="0" w:space="0" w:color="auto"/>
        <w:bottom w:val="none" w:sz="0" w:space="0" w:color="auto"/>
        <w:right w:val="none" w:sz="0" w:space="0" w:color="auto"/>
      </w:divBdr>
    </w:div>
    <w:div w:id="38677166">
      <w:bodyDiv w:val="1"/>
      <w:marLeft w:val="0"/>
      <w:marRight w:val="0"/>
      <w:marTop w:val="0"/>
      <w:marBottom w:val="0"/>
      <w:divBdr>
        <w:top w:val="none" w:sz="0" w:space="0" w:color="auto"/>
        <w:left w:val="none" w:sz="0" w:space="0" w:color="auto"/>
        <w:bottom w:val="none" w:sz="0" w:space="0" w:color="auto"/>
        <w:right w:val="none" w:sz="0" w:space="0" w:color="auto"/>
      </w:divBdr>
    </w:div>
    <w:div w:id="64837458">
      <w:bodyDiv w:val="1"/>
      <w:marLeft w:val="0"/>
      <w:marRight w:val="0"/>
      <w:marTop w:val="0"/>
      <w:marBottom w:val="0"/>
      <w:divBdr>
        <w:top w:val="none" w:sz="0" w:space="0" w:color="auto"/>
        <w:left w:val="none" w:sz="0" w:space="0" w:color="auto"/>
        <w:bottom w:val="none" w:sz="0" w:space="0" w:color="auto"/>
        <w:right w:val="none" w:sz="0" w:space="0" w:color="auto"/>
      </w:divBdr>
    </w:div>
    <w:div w:id="87702404">
      <w:bodyDiv w:val="1"/>
      <w:marLeft w:val="0"/>
      <w:marRight w:val="0"/>
      <w:marTop w:val="0"/>
      <w:marBottom w:val="0"/>
      <w:divBdr>
        <w:top w:val="none" w:sz="0" w:space="0" w:color="auto"/>
        <w:left w:val="none" w:sz="0" w:space="0" w:color="auto"/>
        <w:bottom w:val="none" w:sz="0" w:space="0" w:color="auto"/>
        <w:right w:val="none" w:sz="0" w:space="0" w:color="auto"/>
      </w:divBdr>
    </w:div>
    <w:div w:id="309360918">
      <w:bodyDiv w:val="1"/>
      <w:marLeft w:val="0"/>
      <w:marRight w:val="0"/>
      <w:marTop w:val="0"/>
      <w:marBottom w:val="0"/>
      <w:divBdr>
        <w:top w:val="none" w:sz="0" w:space="0" w:color="auto"/>
        <w:left w:val="none" w:sz="0" w:space="0" w:color="auto"/>
        <w:bottom w:val="none" w:sz="0" w:space="0" w:color="auto"/>
        <w:right w:val="none" w:sz="0" w:space="0" w:color="auto"/>
      </w:divBdr>
    </w:div>
    <w:div w:id="313071679">
      <w:bodyDiv w:val="1"/>
      <w:marLeft w:val="0"/>
      <w:marRight w:val="0"/>
      <w:marTop w:val="0"/>
      <w:marBottom w:val="0"/>
      <w:divBdr>
        <w:top w:val="none" w:sz="0" w:space="0" w:color="auto"/>
        <w:left w:val="none" w:sz="0" w:space="0" w:color="auto"/>
        <w:bottom w:val="none" w:sz="0" w:space="0" w:color="auto"/>
        <w:right w:val="none" w:sz="0" w:space="0" w:color="auto"/>
      </w:divBdr>
    </w:div>
    <w:div w:id="397437487">
      <w:bodyDiv w:val="1"/>
      <w:marLeft w:val="0"/>
      <w:marRight w:val="0"/>
      <w:marTop w:val="0"/>
      <w:marBottom w:val="0"/>
      <w:divBdr>
        <w:top w:val="none" w:sz="0" w:space="0" w:color="auto"/>
        <w:left w:val="none" w:sz="0" w:space="0" w:color="auto"/>
        <w:bottom w:val="none" w:sz="0" w:space="0" w:color="auto"/>
        <w:right w:val="none" w:sz="0" w:space="0" w:color="auto"/>
      </w:divBdr>
    </w:div>
    <w:div w:id="440417499">
      <w:bodyDiv w:val="1"/>
      <w:marLeft w:val="0"/>
      <w:marRight w:val="0"/>
      <w:marTop w:val="0"/>
      <w:marBottom w:val="0"/>
      <w:divBdr>
        <w:top w:val="none" w:sz="0" w:space="0" w:color="auto"/>
        <w:left w:val="none" w:sz="0" w:space="0" w:color="auto"/>
        <w:bottom w:val="none" w:sz="0" w:space="0" w:color="auto"/>
        <w:right w:val="none" w:sz="0" w:space="0" w:color="auto"/>
      </w:divBdr>
    </w:div>
    <w:div w:id="571625424">
      <w:bodyDiv w:val="1"/>
      <w:marLeft w:val="0"/>
      <w:marRight w:val="0"/>
      <w:marTop w:val="0"/>
      <w:marBottom w:val="0"/>
      <w:divBdr>
        <w:top w:val="none" w:sz="0" w:space="0" w:color="auto"/>
        <w:left w:val="none" w:sz="0" w:space="0" w:color="auto"/>
        <w:bottom w:val="none" w:sz="0" w:space="0" w:color="auto"/>
        <w:right w:val="none" w:sz="0" w:space="0" w:color="auto"/>
      </w:divBdr>
    </w:div>
    <w:div w:id="575359921">
      <w:bodyDiv w:val="1"/>
      <w:marLeft w:val="0"/>
      <w:marRight w:val="0"/>
      <w:marTop w:val="0"/>
      <w:marBottom w:val="0"/>
      <w:divBdr>
        <w:top w:val="none" w:sz="0" w:space="0" w:color="auto"/>
        <w:left w:val="none" w:sz="0" w:space="0" w:color="auto"/>
        <w:bottom w:val="none" w:sz="0" w:space="0" w:color="auto"/>
        <w:right w:val="none" w:sz="0" w:space="0" w:color="auto"/>
      </w:divBdr>
    </w:div>
    <w:div w:id="620721076">
      <w:bodyDiv w:val="1"/>
      <w:marLeft w:val="0"/>
      <w:marRight w:val="0"/>
      <w:marTop w:val="0"/>
      <w:marBottom w:val="0"/>
      <w:divBdr>
        <w:top w:val="none" w:sz="0" w:space="0" w:color="auto"/>
        <w:left w:val="none" w:sz="0" w:space="0" w:color="auto"/>
        <w:bottom w:val="none" w:sz="0" w:space="0" w:color="auto"/>
        <w:right w:val="none" w:sz="0" w:space="0" w:color="auto"/>
      </w:divBdr>
    </w:div>
    <w:div w:id="626664348">
      <w:bodyDiv w:val="1"/>
      <w:marLeft w:val="0"/>
      <w:marRight w:val="0"/>
      <w:marTop w:val="0"/>
      <w:marBottom w:val="0"/>
      <w:divBdr>
        <w:top w:val="none" w:sz="0" w:space="0" w:color="auto"/>
        <w:left w:val="none" w:sz="0" w:space="0" w:color="auto"/>
        <w:bottom w:val="none" w:sz="0" w:space="0" w:color="auto"/>
        <w:right w:val="none" w:sz="0" w:space="0" w:color="auto"/>
      </w:divBdr>
    </w:div>
    <w:div w:id="647394368">
      <w:bodyDiv w:val="1"/>
      <w:marLeft w:val="0"/>
      <w:marRight w:val="0"/>
      <w:marTop w:val="0"/>
      <w:marBottom w:val="0"/>
      <w:divBdr>
        <w:top w:val="none" w:sz="0" w:space="0" w:color="auto"/>
        <w:left w:val="none" w:sz="0" w:space="0" w:color="auto"/>
        <w:bottom w:val="none" w:sz="0" w:space="0" w:color="auto"/>
        <w:right w:val="none" w:sz="0" w:space="0" w:color="auto"/>
      </w:divBdr>
    </w:div>
    <w:div w:id="671639553">
      <w:bodyDiv w:val="1"/>
      <w:marLeft w:val="0"/>
      <w:marRight w:val="0"/>
      <w:marTop w:val="0"/>
      <w:marBottom w:val="0"/>
      <w:divBdr>
        <w:top w:val="none" w:sz="0" w:space="0" w:color="auto"/>
        <w:left w:val="none" w:sz="0" w:space="0" w:color="auto"/>
        <w:bottom w:val="none" w:sz="0" w:space="0" w:color="auto"/>
        <w:right w:val="none" w:sz="0" w:space="0" w:color="auto"/>
      </w:divBdr>
    </w:div>
    <w:div w:id="783769076">
      <w:bodyDiv w:val="1"/>
      <w:marLeft w:val="0"/>
      <w:marRight w:val="0"/>
      <w:marTop w:val="0"/>
      <w:marBottom w:val="0"/>
      <w:divBdr>
        <w:top w:val="none" w:sz="0" w:space="0" w:color="auto"/>
        <w:left w:val="none" w:sz="0" w:space="0" w:color="auto"/>
        <w:bottom w:val="none" w:sz="0" w:space="0" w:color="auto"/>
        <w:right w:val="none" w:sz="0" w:space="0" w:color="auto"/>
      </w:divBdr>
    </w:div>
    <w:div w:id="792407302">
      <w:bodyDiv w:val="1"/>
      <w:marLeft w:val="0"/>
      <w:marRight w:val="0"/>
      <w:marTop w:val="0"/>
      <w:marBottom w:val="0"/>
      <w:divBdr>
        <w:top w:val="none" w:sz="0" w:space="0" w:color="auto"/>
        <w:left w:val="none" w:sz="0" w:space="0" w:color="auto"/>
        <w:bottom w:val="none" w:sz="0" w:space="0" w:color="auto"/>
        <w:right w:val="none" w:sz="0" w:space="0" w:color="auto"/>
      </w:divBdr>
    </w:div>
    <w:div w:id="874346609">
      <w:bodyDiv w:val="1"/>
      <w:marLeft w:val="0"/>
      <w:marRight w:val="0"/>
      <w:marTop w:val="0"/>
      <w:marBottom w:val="0"/>
      <w:divBdr>
        <w:top w:val="none" w:sz="0" w:space="0" w:color="auto"/>
        <w:left w:val="none" w:sz="0" w:space="0" w:color="auto"/>
        <w:bottom w:val="none" w:sz="0" w:space="0" w:color="auto"/>
        <w:right w:val="none" w:sz="0" w:space="0" w:color="auto"/>
      </w:divBdr>
    </w:div>
    <w:div w:id="893538332">
      <w:bodyDiv w:val="1"/>
      <w:marLeft w:val="0"/>
      <w:marRight w:val="0"/>
      <w:marTop w:val="0"/>
      <w:marBottom w:val="0"/>
      <w:divBdr>
        <w:top w:val="none" w:sz="0" w:space="0" w:color="auto"/>
        <w:left w:val="none" w:sz="0" w:space="0" w:color="auto"/>
        <w:bottom w:val="none" w:sz="0" w:space="0" w:color="auto"/>
        <w:right w:val="none" w:sz="0" w:space="0" w:color="auto"/>
      </w:divBdr>
    </w:div>
    <w:div w:id="1028675668">
      <w:bodyDiv w:val="1"/>
      <w:marLeft w:val="0"/>
      <w:marRight w:val="0"/>
      <w:marTop w:val="0"/>
      <w:marBottom w:val="0"/>
      <w:divBdr>
        <w:top w:val="none" w:sz="0" w:space="0" w:color="auto"/>
        <w:left w:val="none" w:sz="0" w:space="0" w:color="auto"/>
        <w:bottom w:val="none" w:sz="0" w:space="0" w:color="auto"/>
        <w:right w:val="none" w:sz="0" w:space="0" w:color="auto"/>
      </w:divBdr>
    </w:div>
    <w:div w:id="1050114239">
      <w:bodyDiv w:val="1"/>
      <w:marLeft w:val="0"/>
      <w:marRight w:val="0"/>
      <w:marTop w:val="0"/>
      <w:marBottom w:val="0"/>
      <w:divBdr>
        <w:top w:val="none" w:sz="0" w:space="0" w:color="auto"/>
        <w:left w:val="none" w:sz="0" w:space="0" w:color="auto"/>
        <w:bottom w:val="none" w:sz="0" w:space="0" w:color="auto"/>
        <w:right w:val="none" w:sz="0" w:space="0" w:color="auto"/>
      </w:divBdr>
    </w:div>
    <w:div w:id="1134829153">
      <w:bodyDiv w:val="1"/>
      <w:marLeft w:val="0"/>
      <w:marRight w:val="0"/>
      <w:marTop w:val="0"/>
      <w:marBottom w:val="0"/>
      <w:divBdr>
        <w:top w:val="none" w:sz="0" w:space="0" w:color="auto"/>
        <w:left w:val="none" w:sz="0" w:space="0" w:color="auto"/>
        <w:bottom w:val="none" w:sz="0" w:space="0" w:color="auto"/>
        <w:right w:val="none" w:sz="0" w:space="0" w:color="auto"/>
      </w:divBdr>
    </w:div>
    <w:div w:id="1231383159">
      <w:bodyDiv w:val="1"/>
      <w:marLeft w:val="0"/>
      <w:marRight w:val="0"/>
      <w:marTop w:val="0"/>
      <w:marBottom w:val="0"/>
      <w:divBdr>
        <w:top w:val="none" w:sz="0" w:space="0" w:color="auto"/>
        <w:left w:val="none" w:sz="0" w:space="0" w:color="auto"/>
        <w:bottom w:val="none" w:sz="0" w:space="0" w:color="auto"/>
        <w:right w:val="none" w:sz="0" w:space="0" w:color="auto"/>
      </w:divBdr>
    </w:div>
    <w:div w:id="1270626472">
      <w:bodyDiv w:val="1"/>
      <w:marLeft w:val="0"/>
      <w:marRight w:val="0"/>
      <w:marTop w:val="0"/>
      <w:marBottom w:val="0"/>
      <w:divBdr>
        <w:top w:val="none" w:sz="0" w:space="0" w:color="auto"/>
        <w:left w:val="none" w:sz="0" w:space="0" w:color="auto"/>
        <w:bottom w:val="none" w:sz="0" w:space="0" w:color="auto"/>
        <w:right w:val="none" w:sz="0" w:space="0" w:color="auto"/>
      </w:divBdr>
    </w:div>
    <w:div w:id="1336611903">
      <w:bodyDiv w:val="1"/>
      <w:marLeft w:val="0"/>
      <w:marRight w:val="0"/>
      <w:marTop w:val="0"/>
      <w:marBottom w:val="0"/>
      <w:divBdr>
        <w:top w:val="none" w:sz="0" w:space="0" w:color="auto"/>
        <w:left w:val="none" w:sz="0" w:space="0" w:color="auto"/>
        <w:bottom w:val="none" w:sz="0" w:space="0" w:color="auto"/>
        <w:right w:val="none" w:sz="0" w:space="0" w:color="auto"/>
      </w:divBdr>
    </w:div>
    <w:div w:id="1371417267">
      <w:bodyDiv w:val="1"/>
      <w:marLeft w:val="0"/>
      <w:marRight w:val="0"/>
      <w:marTop w:val="0"/>
      <w:marBottom w:val="0"/>
      <w:divBdr>
        <w:top w:val="none" w:sz="0" w:space="0" w:color="auto"/>
        <w:left w:val="none" w:sz="0" w:space="0" w:color="auto"/>
        <w:bottom w:val="none" w:sz="0" w:space="0" w:color="auto"/>
        <w:right w:val="none" w:sz="0" w:space="0" w:color="auto"/>
      </w:divBdr>
    </w:div>
    <w:div w:id="1376737532">
      <w:bodyDiv w:val="1"/>
      <w:marLeft w:val="0"/>
      <w:marRight w:val="0"/>
      <w:marTop w:val="0"/>
      <w:marBottom w:val="0"/>
      <w:divBdr>
        <w:top w:val="none" w:sz="0" w:space="0" w:color="auto"/>
        <w:left w:val="none" w:sz="0" w:space="0" w:color="auto"/>
        <w:bottom w:val="none" w:sz="0" w:space="0" w:color="auto"/>
        <w:right w:val="none" w:sz="0" w:space="0" w:color="auto"/>
      </w:divBdr>
    </w:div>
    <w:div w:id="1399547500">
      <w:bodyDiv w:val="1"/>
      <w:marLeft w:val="0"/>
      <w:marRight w:val="0"/>
      <w:marTop w:val="0"/>
      <w:marBottom w:val="0"/>
      <w:divBdr>
        <w:top w:val="none" w:sz="0" w:space="0" w:color="auto"/>
        <w:left w:val="none" w:sz="0" w:space="0" w:color="auto"/>
        <w:bottom w:val="none" w:sz="0" w:space="0" w:color="auto"/>
        <w:right w:val="none" w:sz="0" w:space="0" w:color="auto"/>
      </w:divBdr>
    </w:div>
    <w:div w:id="1408914583">
      <w:bodyDiv w:val="1"/>
      <w:marLeft w:val="0"/>
      <w:marRight w:val="0"/>
      <w:marTop w:val="0"/>
      <w:marBottom w:val="0"/>
      <w:divBdr>
        <w:top w:val="none" w:sz="0" w:space="0" w:color="auto"/>
        <w:left w:val="none" w:sz="0" w:space="0" w:color="auto"/>
        <w:bottom w:val="none" w:sz="0" w:space="0" w:color="auto"/>
        <w:right w:val="none" w:sz="0" w:space="0" w:color="auto"/>
      </w:divBdr>
    </w:div>
    <w:div w:id="1424448305">
      <w:bodyDiv w:val="1"/>
      <w:marLeft w:val="0"/>
      <w:marRight w:val="0"/>
      <w:marTop w:val="0"/>
      <w:marBottom w:val="0"/>
      <w:divBdr>
        <w:top w:val="none" w:sz="0" w:space="0" w:color="auto"/>
        <w:left w:val="none" w:sz="0" w:space="0" w:color="auto"/>
        <w:bottom w:val="none" w:sz="0" w:space="0" w:color="auto"/>
        <w:right w:val="none" w:sz="0" w:space="0" w:color="auto"/>
      </w:divBdr>
    </w:div>
    <w:div w:id="1455100128">
      <w:bodyDiv w:val="1"/>
      <w:marLeft w:val="0"/>
      <w:marRight w:val="0"/>
      <w:marTop w:val="0"/>
      <w:marBottom w:val="0"/>
      <w:divBdr>
        <w:top w:val="none" w:sz="0" w:space="0" w:color="auto"/>
        <w:left w:val="none" w:sz="0" w:space="0" w:color="auto"/>
        <w:bottom w:val="none" w:sz="0" w:space="0" w:color="auto"/>
        <w:right w:val="none" w:sz="0" w:space="0" w:color="auto"/>
      </w:divBdr>
    </w:div>
    <w:div w:id="1589576938">
      <w:bodyDiv w:val="1"/>
      <w:marLeft w:val="0"/>
      <w:marRight w:val="0"/>
      <w:marTop w:val="0"/>
      <w:marBottom w:val="0"/>
      <w:divBdr>
        <w:top w:val="none" w:sz="0" w:space="0" w:color="auto"/>
        <w:left w:val="none" w:sz="0" w:space="0" w:color="auto"/>
        <w:bottom w:val="none" w:sz="0" w:space="0" w:color="auto"/>
        <w:right w:val="none" w:sz="0" w:space="0" w:color="auto"/>
      </w:divBdr>
    </w:div>
    <w:div w:id="1599872768">
      <w:bodyDiv w:val="1"/>
      <w:marLeft w:val="0"/>
      <w:marRight w:val="0"/>
      <w:marTop w:val="0"/>
      <w:marBottom w:val="0"/>
      <w:divBdr>
        <w:top w:val="none" w:sz="0" w:space="0" w:color="auto"/>
        <w:left w:val="none" w:sz="0" w:space="0" w:color="auto"/>
        <w:bottom w:val="none" w:sz="0" w:space="0" w:color="auto"/>
        <w:right w:val="none" w:sz="0" w:space="0" w:color="auto"/>
      </w:divBdr>
    </w:div>
    <w:div w:id="1650672360">
      <w:bodyDiv w:val="1"/>
      <w:marLeft w:val="0"/>
      <w:marRight w:val="0"/>
      <w:marTop w:val="0"/>
      <w:marBottom w:val="0"/>
      <w:divBdr>
        <w:top w:val="none" w:sz="0" w:space="0" w:color="auto"/>
        <w:left w:val="none" w:sz="0" w:space="0" w:color="auto"/>
        <w:bottom w:val="none" w:sz="0" w:space="0" w:color="auto"/>
        <w:right w:val="none" w:sz="0" w:space="0" w:color="auto"/>
      </w:divBdr>
    </w:div>
    <w:div w:id="1682395319">
      <w:bodyDiv w:val="1"/>
      <w:marLeft w:val="0"/>
      <w:marRight w:val="0"/>
      <w:marTop w:val="0"/>
      <w:marBottom w:val="0"/>
      <w:divBdr>
        <w:top w:val="none" w:sz="0" w:space="0" w:color="auto"/>
        <w:left w:val="none" w:sz="0" w:space="0" w:color="auto"/>
        <w:bottom w:val="none" w:sz="0" w:space="0" w:color="auto"/>
        <w:right w:val="none" w:sz="0" w:space="0" w:color="auto"/>
      </w:divBdr>
    </w:div>
    <w:div w:id="1705786975">
      <w:bodyDiv w:val="1"/>
      <w:marLeft w:val="0"/>
      <w:marRight w:val="0"/>
      <w:marTop w:val="0"/>
      <w:marBottom w:val="0"/>
      <w:divBdr>
        <w:top w:val="none" w:sz="0" w:space="0" w:color="auto"/>
        <w:left w:val="none" w:sz="0" w:space="0" w:color="auto"/>
        <w:bottom w:val="none" w:sz="0" w:space="0" w:color="auto"/>
        <w:right w:val="none" w:sz="0" w:space="0" w:color="auto"/>
      </w:divBdr>
    </w:div>
    <w:div w:id="1863012074">
      <w:bodyDiv w:val="1"/>
      <w:marLeft w:val="0"/>
      <w:marRight w:val="0"/>
      <w:marTop w:val="0"/>
      <w:marBottom w:val="0"/>
      <w:divBdr>
        <w:top w:val="none" w:sz="0" w:space="0" w:color="auto"/>
        <w:left w:val="none" w:sz="0" w:space="0" w:color="auto"/>
        <w:bottom w:val="none" w:sz="0" w:space="0" w:color="auto"/>
        <w:right w:val="none" w:sz="0" w:space="0" w:color="auto"/>
      </w:divBdr>
    </w:div>
    <w:div w:id="1884754906">
      <w:bodyDiv w:val="1"/>
      <w:marLeft w:val="0"/>
      <w:marRight w:val="0"/>
      <w:marTop w:val="0"/>
      <w:marBottom w:val="0"/>
      <w:divBdr>
        <w:top w:val="none" w:sz="0" w:space="0" w:color="auto"/>
        <w:left w:val="none" w:sz="0" w:space="0" w:color="auto"/>
        <w:bottom w:val="none" w:sz="0" w:space="0" w:color="auto"/>
        <w:right w:val="none" w:sz="0" w:space="0" w:color="auto"/>
      </w:divBdr>
    </w:div>
    <w:div w:id="1892112505">
      <w:bodyDiv w:val="1"/>
      <w:marLeft w:val="0"/>
      <w:marRight w:val="0"/>
      <w:marTop w:val="0"/>
      <w:marBottom w:val="0"/>
      <w:divBdr>
        <w:top w:val="none" w:sz="0" w:space="0" w:color="auto"/>
        <w:left w:val="none" w:sz="0" w:space="0" w:color="auto"/>
        <w:bottom w:val="none" w:sz="0" w:space="0" w:color="auto"/>
        <w:right w:val="none" w:sz="0" w:space="0" w:color="auto"/>
      </w:divBdr>
    </w:div>
    <w:div w:id="1898392091">
      <w:bodyDiv w:val="1"/>
      <w:marLeft w:val="0"/>
      <w:marRight w:val="0"/>
      <w:marTop w:val="0"/>
      <w:marBottom w:val="0"/>
      <w:divBdr>
        <w:top w:val="none" w:sz="0" w:space="0" w:color="auto"/>
        <w:left w:val="none" w:sz="0" w:space="0" w:color="auto"/>
        <w:bottom w:val="none" w:sz="0" w:space="0" w:color="auto"/>
        <w:right w:val="none" w:sz="0" w:space="0" w:color="auto"/>
      </w:divBdr>
    </w:div>
    <w:div w:id="1950963312">
      <w:bodyDiv w:val="1"/>
      <w:marLeft w:val="0"/>
      <w:marRight w:val="0"/>
      <w:marTop w:val="0"/>
      <w:marBottom w:val="0"/>
      <w:divBdr>
        <w:top w:val="none" w:sz="0" w:space="0" w:color="auto"/>
        <w:left w:val="none" w:sz="0" w:space="0" w:color="auto"/>
        <w:bottom w:val="none" w:sz="0" w:space="0" w:color="auto"/>
        <w:right w:val="none" w:sz="0" w:space="0" w:color="auto"/>
      </w:divBdr>
    </w:div>
    <w:div w:id="2006085645">
      <w:bodyDiv w:val="1"/>
      <w:marLeft w:val="0"/>
      <w:marRight w:val="0"/>
      <w:marTop w:val="0"/>
      <w:marBottom w:val="0"/>
      <w:divBdr>
        <w:top w:val="none" w:sz="0" w:space="0" w:color="auto"/>
        <w:left w:val="none" w:sz="0" w:space="0" w:color="auto"/>
        <w:bottom w:val="none" w:sz="0" w:space="0" w:color="auto"/>
        <w:right w:val="none" w:sz="0" w:space="0" w:color="auto"/>
      </w:divBdr>
    </w:div>
    <w:div w:id="2070228927">
      <w:bodyDiv w:val="1"/>
      <w:marLeft w:val="0"/>
      <w:marRight w:val="0"/>
      <w:marTop w:val="0"/>
      <w:marBottom w:val="0"/>
      <w:divBdr>
        <w:top w:val="none" w:sz="0" w:space="0" w:color="auto"/>
        <w:left w:val="none" w:sz="0" w:space="0" w:color="auto"/>
        <w:bottom w:val="none" w:sz="0" w:space="0" w:color="auto"/>
        <w:right w:val="none" w:sz="0" w:space="0" w:color="auto"/>
      </w:divBdr>
    </w:div>
    <w:div w:id="2110538009">
      <w:bodyDiv w:val="1"/>
      <w:marLeft w:val="0"/>
      <w:marRight w:val="0"/>
      <w:marTop w:val="0"/>
      <w:marBottom w:val="0"/>
      <w:divBdr>
        <w:top w:val="none" w:sz="0" w:space="0" w:color="auto"/>
        <w:left w:val="none" w:sz="0" w:space="0" w:color="auto"/>
        <w:bottom w:val="none" w:sz="0" w:space="0" w:color="auto"/>
        <w:right w:val="none" w:sz="0" w:space="0" w:color="auto"/>
      </w:divBdr>
    </w:div>
    <w:div w:id="2120375182">
      <w:bodyDiv w:val="1"/>
      <w:marLeft w:val="0"/>
      <w:marRight w:val="0"/>
      <w:marTop w:val="0"/>
      <w:marBottom w:val="0"/>
      <w:divBdr>
        <w:top w:val="none" w:sz="0" w:space="0" w:color="auto"/>
        <w:left w:val="none" w:sz="0" w:space="0" w:color="auto"/>
        <w:bottom w:val="none" w:sz="0" w:space="0" w:color="auto"/>
        <w:right w:val="none" w:sz="0" w:space="0" w:color="auto"/>
      </w:divBdr>
    </w:div>
    <w:div w:id="213066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porto.ancona.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05BCE391BED24B93DED34C8BC6E680" ma:contentTypeVersion="15" ma:contentTypeDescription="Creare un nuovo documento." ma:contentTypeScope="" ma:versionID="4d3f436876c64c920a197b3a2c7a3e00">
  <xsd:schema xmlns:xsd="http://www.w3.org/2001/XMLSchema" xmlns:xs="http://www.w3.org/2001/XMLSchema" xmlns:p="http://schemas.microsoft.com/office/2006/metadata/properties" xmlns:ns2="826b4f6d-5018-4ddf-858e-05d8bb04bf28" xmlns:ns3="664e0b1c-552d-47c1-af82-efe3e29f1810" targetNamespace="http://schemas.microsoft.com/office/2006/metadata/properties" ma:root="true" ma:fieldsID="f9fec9cf562da2d18244cbd5af3a35f1" ns2:_="" ns3:_="">
    <xsd:import namespace="826b4f6d-5018-4ddf-858e-05d8bb04bf28"/>
    <xsd:import namespace="664e0b1c-552d-47c1-af82-efe3e29f18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4f6d-5018-4ddf-858e-05d8bb04b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5ced369-30e4-476f-b02a-a50c45171ae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e0b1c-552d-47c1-af82-efe3e29f181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66eaac-50f4-4a5c-85e9-d16c2ecce9d2}" ma:internalName="TaxCatchAll" ma:showField="CatchAllData" ma:web="664e0b1c-552d-47c1-af82-efe3e29f18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6b4f6d-5018-4ddf-858e-05d8bb04bf28">
      <Terms xmlns="http://schemas.microsoft.com/office/infopath/2007/PartnerControls"/>
    </lcf76f155ced4ddcb4097134ff3c332f>
    <TaxCatchAll xmlns="664e0b1c-552d-47c1-af82-efe3e29f18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59AE-695F-4C8B-9FFB-86C4D492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b4f6d-5018-4ddf-858e-05d8bb04bf28"/>
    <ds:schemaRef ds:uri="664e0b1c-552d-47c1-af82-efe3e29f1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50BD8-D67C-4CE0-B4B3-FE071872D885}">
  <ds:schemaRefs>
    <ds:schemaRef ds:uri="http://schemas.openxmlformats.org/officeDocument/2006/bibliography"/>
  </ds:schemaRefs>
</ds:datastoreItem>
</file>

<file path=customXml/itemProps3.xml><?xml version="1.0" encoding="utf-8"?>
<ds:datastoreItem xmlns:ds="http://schemas.openxmlformats.org/officeDocument/2006/customXml" ds:itemID="{403E4712-1D4F-4220-95E9-5FB33A662C5E}">
  <ds:schemaRefs>
    <ds:schemaRef ds:uri="http://schemas.microsoft.com/office/2006/documentManagement/types"/>
    <ds:schemaRef ds:uri="http://schemas.microsoft.com/office/infopath/2007/PartnerControls"/>
    <ds:schemaRef ds:uri="http://purl.org/dc/elements/1.1/"/>
    <ds:schemaRef ds:uri="826b4f6d-5018-4ddf-858e-05d8bb04bf28"/>
    <ds:schemaRef ds:uri="http://www.w3.org/XML/1998/namespace"/>
    <ds:schemaRef ds:uri="http://purl.org/dc/terms/"/>
    <ds:schemaRef ds:uri="http://schemas.openxmlformats.org/package/2006/metadata/core-properties"/>
    <ds:schemaRef ds:uri="http://schemas.microsoft.com/office/2006/metadata/properties"/>
    <ds:schemaRef ds:uri="664e0b1c-552d-47c1-af82-efe3e29f1810"/>
    <ds:schemaRef ds:uri="http://purl.org/dc/dcmitype/"/>
  </ds:schemaRefs>
</ds:datastoreItem>
</file>

<file path=customXml/itemProps4.xml><?xml version="1.0" encoding="utf-8"?>
<ds:datastoreItem xmlns:ds="http://schemas.openxmlformats.org/officeDocument/2006/customXml" ds:itemID="{5EB869B1-9508-461A-9047-5F2BA2568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4718</Words>
  <Characters>28311</Characters>
  <Application>Microsoft Office Word</Application>
  <DocSecurity>0</DocSecurity>
  <Lines>235</Lines>
  <Paragraphs>65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32964</CharactersWithSpaces>
  <SharedDoc>false</SharedDoc>
  <HLinks>
    <vt:vector size="18" baseType="variant">
      <vt:variant>
        <vt:i4>2621446</vt:i4>
      </vt:variant>
      <vt:variant>
        <vt:i4>9</vt:i4>
      </vt:variant>
      <vt:variant>
        <vt:i4>0</vt:i4>
      </vt:variant>
      <vt:variant>
        <vt:i4>5</vt:i4>
      </vt:variant>
      <vt:variant>
        <vt:lpwstr>mailto:segreteria@pec.porto.ancona.it</vt:lpwstr>
      </vt:variant>
      <vt:variant>
        <vt:lpwstr/>
      </vt:variant>
      <vt:variant>
        <vt:i4>7340140</vt:i4>
      </vt:variant>
      <vt:variant>
        <vt:i4>6</vt:i4>
      </vt:variant>
      <vt:variant>
        <vt:i4>0</vt:i4>
      </vt:variant>
      <vt:variant>
        <vt:i4>5</vt:i4>
      </vt:variant>
      <vt:variant>
        <vt:lpwstr>http://www.porto.ancona.it/</vt:lpwstr>
      </vt:variant>
      <vt:variant>
        <vt:lpwstr/>
      </vt:variant>
      <vt:variant>
        <vt:i4>1114212</vt:i4>
      </vt:variant>
      <vt:variant>
        <vt:i4>3</vt:i4>
      </vt:variant>
      <vt:variant>
        <vt:i4>0</vt:i4>
      </vt:variant>
      <vt:variant>
        <vt:i4>5</vt:i4>
      </vt:variant>
      <vt:variant>
        <vt:lpwstr>mailto:info@porto.ancona.it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Bugio</dc:creator>
  <cp:keywords/>
  <cp:lastModifiedBy>Chiara Gusella</cp:lastModifiedBy>
  <cp:revision>12</cp:revision>
  <cp:lastPrinted>2025-01-21T08:31:00Z</cp:lastPrinted>
  <dcterms:created xsi:type="dcterms:W3CDTF">2025-09-15T09:19:00Z</dcterms:created>
  <dcterms:modified xsi:type="dcterms:W3CDTF">2025-09-18T08:23:00Z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dedfe34bfc691ef8ad043dcb02c7a4c2d315db4082dbaed7a900be558f7822ce</vt:lpwstr>
  </property>
  <property fmtid="{D5CDD505-2E9C-101B-9397-08002B2CF9AE}" pid="3" name="ContentTypeId">
    <vt:lpwstr>0x0101007A05BCE391BED24B93DED34C8BC6E680</vt:lpwstr>
  </property>
  <property fmtid="{D5CDD505-2E9C-101B-9397-08002B2CF9AE}" pid="4" name="MediaServiceImageTags">
    <vt:lpwstr/>
  </property>
</Properties>
</file>