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9AB71" w14:textId="2942A869" w:rsidR="007256DB" w:rsidRPr="00F32DCC" w:rsidRDefault="007256DB" w:rsidP="00F32DC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2DCC">
        <w:rPr>
          <w:rFonts w:ascii="Times New Roman" w:hAnsi="Times New Roman" w:cs="Times New Roman"/>
          <w:b/>
          <w:bCs/>
          <w:sz w:val="24"/>
          <w:szCs w:val="24"/>
        </w:rPr>
        <w:t>REGOLAMENTO LOTTERIA</w:t>
      </w:r>
    </w:p>
    <w:p w14:paraId="7CE2FEF7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Per lotteria si intende la manifestazione di sorte effettuata con la vendita di biglietti staccati da registri a matrice, concorrenti ad uno o più premi secondo l’ordine di estrazione. </w:t>
      </w:r>
    </w:p>
    <w:p w14:paraId="2B5C3FBE" w14:textId="4965B30B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La vendita dei biglietti sarà effettuata nel Comune di </w:t>
      </w:r>
      <w:r w:rsidR="00F32DCC">
        <w:rPr>
          <w:rFonts w:ascii="Times New Roman" w:hAnsi="Times New Roman" w:cs="Times New Roman"/>
          <w:sz w:val="24"/>
          <w:szCs w:val="24"/>
        </w:rPr>
        <w:t xml:space="preserve">Amelia </w:t>
      </w:r>
      <w:proofErr w:type="gramStart"/>
      <w:r w:rsidRPr="00F32DCC">
        <w:rPr>
          <w:rFonts w:ascii="Times New Roman" w:hAnsi="Times New Roman" w:cs="Times New Roman"/>
          <w:sz w:val="24"/>
          <w:szCs w:val="24"/>
        </w:rPr>
        <w:t>ed</w:t>
      </w:r>
      <w:proofErr w:type="gramEnd"/>
      <w:r w:rsidRPr="00F32DCC">
        <w:rPr>
          <w:rFonts w:ascii="Times New Roman" w:hAnsi="Times New Roman" w:cs="Times New Roman"/>
          <w:sz w:val="24"/>
          <w:szCs w:val="24"/>
        </w:rPr>
        <w:t>, eventualmente, nei comuni della Provincia di</w:t>
      </w:r>
      <w:r w:rsidR="00F32DCC">
        <w:rPr>
          <w:rFonts w:ascii="Times New Roman" w:hAnsi="Times New Roman" w:cs="Times New Roman"/>
          <w:sz w:val="24"/>
          <w:szCs w:val="24"/>
        </w:rPr>
        <w:t xml:space="preserve"> Terni</w:t>
      </w:r>
      <w:r w:rsidRPr="00F32DC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06392A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I biglietti saranno contrassegnati da serie e numerazione progressiva (indicata anche nella fattura di acquisto rilasciata dalla tipografia che ha provveduto alla stampa) e saranno venduti al prezzo di € _________ (____________________________) ciascuno. </w:t>
      </w:r>
    </w:p>
    <w:p w14:paraId="42CBAB44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L’importo complessivo dei biglietti che saranno emessi, comunque sia frazionato il prezzo degli stessi, non supererà la somma di € 51.645,69. </w:t>
      </w:r>
    </w:p>
    <w:p w14:paraId="1A763396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I premi posti ad estrazione sono nell’ordine di importanza i seguenti: </w:t>
      </w:r>
    </w:p>
    <w:p w14:paraId="6FCF38AB" w14:textId="77777777" w:rsidR="00F32DCC" w:rsidRPr="0018609F" w:rsidRDefault="00F32DCC" w:rsidP="00F32DCC">
      <w:pPr>
        <w:jc w:val="both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32DCC" w:rsidRPr="0018609F" w14:paraId="6F790325" w14:textId="77777777" w:rsidTr="00B87D26">
        <w:tc>
          <w:tcPr>
            <w:tcW w:w="3209" w:type="dxa"/>
          </w:tcPr>
          <w:p w14:paraId="7BBDFCD1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609F">
              <w:rPr>
                <w:rFonts w:ascii="Times New Roman" w:hAnsi="Times New Roman" w:cs="Times New Roman"/>
                <w:b/>
                <w:bCs/>
              </w:rPr>
              <w:t>ORDINE DI ESTRAZIONE</w:t>
            </w:r>
          </w:p>
        </w:tc>
        <w:tc>
          <w:tcPr>
            <w:tcW w:w="3209" w:type="dxa"/>
          </w:tcPr>
          <w:p w14:paraId="4298D224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609F">
              <w:rPr>
                <w:rFonts w:ascii="Times New Roman" w:hAnsi="Times New Roman" w:cs="Times New Roman"/>
                <w:b/>
                <w:bCs/>
              </w:rPr>
              <w:t>TIPOLOGIA DI PREMIO</w:t>
            </w:r>
          </w:p>
        </w:tc>
        <w:tc>
          <w:tcPr>
            <w:tcW w:w="3210" w:type="dxa"/>
          </w:tcPr>
          <w:p w14:paraId="7BC27E6D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609F">
              <w:rPr>
                <w:rFonts w:ascii="Times New Roman" w:hAnsi="Times New Roman" w:cs="Times New Roman"/>
                <w:b/>
                <w:bCs/>
              </w:rPr>
              <w:t>VALORE IN EURO</w:t>
            </w:r>
          </w:p>
        </w:tc>
      </w:tr>
      <w:tr w:rsidR="00F32DCC" w:rsidRPr="0018609F" w14:paraId="64ADBDF5" w14:textId="77777777" w:rsidTr="00B87D26">
        <w:tc>
          <w:tcPr>
            <w:tcW w:w="3209" w:type="dxa"/>
          </w:tcPr>
          <w:p w14:paraId="107AA3D9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1°</w:t>
            </w:r>
          </w:p>
        </w:tc>
        <w:tc>
          <w:tcPr>
            <w:tcW w:w="3209" w:type="dxa"/>
          </w:tcPr>
          <w:p w14:paraId="4BEC639E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10" w:type="dxa"/>
          </w:tcPr>
          <w:p w14:paraId="46B68F8C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32DCC" w:rsidRPr="0018609F" w14:paraId="77C2DEBC" w14:textId="77777777" w:rsidTr="00B87D26">
        <w:tc>
          <w:tcPr>
            <w:tcW w:w="3209" w:type="dxa"/>
          </w:tcPr>
          <w:p w14:paraId="785D4082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2°</w:t>
            </w:r>
          </w:p>
        </w:tc>
        <w:tc>
          <w:tcPr>
            <w:tcW w:w="3209" w:type="dxa"/>
          </w:tcPr>
          <w:p w14:paraId="2C80B9A2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10" w:type="dxa"/>
          </w:tcPr>
          <w:p w14:paraId="615E3FCF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32DCC" w:rsidRPr="0018609F" w14:paraId="518F5F14" w14:textId="77777777" w:rsidTr="00B87D26">
        <w:tc>
          <w:tcPr>
            <w:tcW w:w="3209" w:type="dxa"/>
          </w:tcPr>
          <w:p w14:paraId="09E7B9C7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3°</w:t>
            </w:r>
          </w:p>
        </w:tc>
        <w:tc>
          <w:tcPr>
            <w:tcW w:w="3209" w:type="dxa"/>
          </w:tcPr>
          <w:p w14:paraId="19CEB4ED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29FFB354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2CC9C970" w14:textId="77777777" w:rsidTr="00B87D26">
        <w:tc>
          <w:tcPr>
            <w:tcW w:w="3209" w:type="dxa"/>
          </w:tcPr>
          <w:p w14:paraId="043F59A3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4°</w:t>
            </w:r>
          </w:p>
        </w:tc>
        <w:tc>
          <w:tcPr>
            <w:tcW w:w="3209" w:type="dxa"/>
          </w:tcPr>
          <w:p w14:paraId="0D5E6DC0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7AA526AE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7756166F" w14:textId="77777777" w:rsidTr="00B87D26">
        <w:tc>
          <w:tcPr>
            <w:tcW w:w="3209" w:type="dxa"/>
          </w:tcPr>
          <w:p w14:paraId="54419AA3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5°</w:t>
            </w:r>
          </w:p>
        </w:tc>
        <w:tc>
          <w:tcPr>
            <w:tcW w:w="3209" w:type="dxa"/>
          </w:tcPr>
          <w:p w14:paraId="73D64DF5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7F799BAC" w14:textId="77777777" w:rsidR="00F32DCC" w:rsidRPr="0018609F" w:rsidRDefault="00F32DCC" w:rsidP="00B87D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7230F72A" w14:textId="77777777" w:rsidTr="00B87D26">
        <w:tc>
          <w:tcPr>
            <w:tcW w:w="3209" w:type="dxa"/>
          </w:tcPr>
          <w:p w14:paraId="3CA79164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6°</w:t>
            </w:r>
          </w:p>
        </w:tc>
        <w:tc>
          <w:tcPr>
            <w:tcW w:w="3209" w:type="dxa"/>
          </w:tcPr>
          <w:p w14:paraId="038186EB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1B2193D4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0DFD22F4" w14:textId="77777777" w:rsidTr="00B87D26">
        <w:tc>
          <w:tcPr>
            <w:tcW w:w="3209" w:type="dxa"/>
          </w:tcPr>
          <w:p w14:paraId="5B870D94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7°</w:t>
            </w:r>
          </w:p>
        </w:tc>
        <w:tc>
          <w:tcPr>
            <w:tcW w:w="3209" w:type="dxa"/>
          </w:tcPr>
          <w:p w14:paraId="6720C267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6ECEC8E0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7C491B4A" w14:textId="77777777" w:rsidTr="00B87D26">
        <w:tc>
          <w:tcPr>
            <w:tcW w:w="3209" w:type="dxa"/>
          </w:tcPr>
          <w:p w14:paraId="43329B92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8°</w:t>
            </w:r>
          </w:p>
        </w:tc>
        <w:tc>
          <w:tcPr>
            <w:tcW w:w="3209" w:type="dxa"/>
          </w:tcPr>
          <w:p w14:paraId="0786FAF9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6056C825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4F13DA5F" w14:textId="77777777" w:rsidTr="00B87D26">
        <w:tc>
          <w:tcPr>
            <w:tcW w:w="3209" w:type="dxa"/>
          </w:tcPr>
          <w:p w14:paraId="1BA8DCA6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9°</w:t>
            </w:r>
          </w:p>
        </w:tc>
        <w:tc>
          <w:tcPr>
            <w:tcW w:w="3209" w:type="dxa"/>
          </w:tcPr>
          <w:p w14:paraId="38257C09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111433CC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58297B0E" w14:textId="77777777" w:rsidTr="00B87D26">
        <w:tc>
          <w:tcPr>
            <w:tcW w:w="3209" w:type="dxa"/>
          </w:tcPr>
          <w:p w14:paraId="47AD505E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10°</w:t>
            </w:r>
          </w:p>
        </w:tc>
        <w:tc>
          <w:tcPr>
            <w:tcW w:w="3209" w:type="dxa"/>
          </w:tcPr>
          <w:p w14:paraId="5EF10887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5FE10FD6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2B082990" w14:textId="77777777" w:rsidTr="00B87D26">
        <w:tc>
          <w:tcPr>
            <w:tcW w:w="3209" w:type="dxa"/>
          </w:tcPr>
          <w:p w14:paraId="4A629AA8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11°</w:t>
            </w:r>
          </w:p>
        </w:tc>
        <w:tc>
          <w:tcPr>
            <w:tcW w:w="3209" w:type="dxa"/>
          </w:tcPr>
          <w:p w14:paraId="43D3FF50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36F68990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5E91F340" w14:textId="77777777" w:rsidTr="00B87D26">
        <w:tc>
          <w:tcPr>
            <w:tcW w:w="3209" w:type="dxa"/>
          </w:tcPr>
          <w:p w14:paraId="732F4164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12°</w:t>
            </w:r>
          </w:p>
        </w:tc>
        <w:tc>
          <w:tcPr>
            <w:tcW w:w="3209" w:type="dxa"/>
          </w:tcPr>
          <w:p w14:paraId="76EC8F7D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6C49997B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0ECB5C50" w14:textId="77777777" w:rsidTr="00B87D26">
        <w:tc>
          <w:tcPr>
            <w:tcW w:w="3209" w:type="dxa"/>
          </w:tcPr>
          <w:p w14:paraId="202DC9ED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13°</w:t>
            </w:r>
          </w:p>
        </w:tc>
        <w:tc>
          <w:tcPr>
            <w:tcW w:w="3209" w:type="dxa"/>
          </w:tcPr>
          <w:p w14:paraId="17A83D40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2C4283E9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1C9223FF" w14:textId="77777777" w:rsidTr="00B87D26">
        <w:tc>
          <w:tcPr>
            <w:tcW w:w="3209" w:type="dxa"/>
          </w:tcPr>
          <w:p w14:paraId="2AA1144C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14°</w:t>
            </w:r>
          </w:p>
        </w:tc>
        <w:tc>
          <w:tcPr>
            <w:tcW w:w="3209" w:type="dxa"/>
          </w:tcPr>
          <w:p w14:paraId="00947A09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5B1A5740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2DCC" w:rsidRPr="0018609F" w14:paraId="27D5BC36" w14:textId="77777777" w:rsidTr="00B87D26">
        <w:tc>
          <w:tcPr>
            <w:tcW w:w="3209" w:type="dxa"/>
          </w:tcPr>
          <w:p w14:paraId="2D7BA23D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15°</w:t>
            </w:r>
          </w:p>
        </w:tc>
        <w:tc>
          <w:tcPr>
            <w:tcW w:w="3209" w:type="dxa"/>
          </w:tcPr>
          <w:p w14:paraId="7B0BC544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0D9BAA02" w14:textId="77777777" w:rsidR="00F32DCC" w:rsidRPr="0018609F" w:rsidRDefault="00F32DCC" w:rsidP="00B87D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3A5B9D7" w14:textId="4DA220E8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7B7DAC" w14:textId="77777777" w:rsidR="00F32DCC" w:rsidRPr="0018609F" w:rsidRDefault="007256DB" w:rsidP="00F32DCC">
      <w:pPr>
        <w:rPr>
          <w:rFonts w:ascii="Times New Roman" w:hAnsi="Times New Roman" w:cs="Times New Roman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</w:t>
      </w:r>
      <w:r w:rsidR="00F32DCC" w:rsidRPr="0018609F">
        <w:rPr>
          <w:rFonts w:ascii="Times New Roman" w:hAnsi="Times New Roman" w:cs="Times New Roman"/>
        </w:rPr>
        <w:t>I premi sono esposti in ………………presso………………........................................................................................... .............................................................................................................................................................................</w:t>
      </w:r>
    </w:p>
    <w:p w14:paraId="26739E7D" w14:textId="4241AE41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Detti premi saranno consegnati ai vincitori il giorno stesso dell’estrazione e sarà compilata apposita ricevuta. </w:t>
      </w:r>
    </w:p>
    <w:p w14:paraId="10438428" w14:textId="6CC6BD44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Nel caso in cui non sia possibile consegnare i premi il giorno dell’estrazione, saranno consegnati il __________________ presso _________________________________ </w:t>
      </w:r>
    </w:p>
    <w:p w14:paraId="09319B85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L’estrazione della lotteria è pubblica e le modalità della stessa saranno portate a conoscenza del pubblico presso tutti i comuni interessati </w:t>
      </w:r>
      <w:proofErr w:type="gramStart"/>
      <w:r w:rsidRPr="00F32DCC">
        <w:rPr>
          <w:rFonts w:ascii="Times New Roman" w:hAnsi="Times New Roman" w:cs="Times New Roman"/>
          <w:sz w:val="24"/>
          <w:szCs w:val="24"/>
        </w:rPr>
        <w:t>alla manifestazioni</w:t>
      </w:r>
      <w:proofErr w:type="gramEnd"/>
      <w:r w:rsidRPr="00F32DCC">
        <w:rPr>
          <w:rFonts w:ascii="Times New Roman" w:hAnsi="Times New Roman" w:cs="Times New Roman"/>
          <w:sz w:val="24"/>
          <w:szCs w:val="24"/>
        </w:rPr>
        <w:t xml:space="preserve">, mediante avviso regolarmente affisso. </w:t>
      </w:r>
    </w:p>
    <w:p w14:paraId="4F27FE81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Nell’avviso saranno indicati gli estremi della comunicazione fatta per l’effettuazione della lotteria, il programma della lotteria, le finalità che ne motivano lo svolgimento nonché la serie e la numerazione dei biglietti messi in vendita. </w:t>
      </w:r>
    </w:p>
    <w:p w14:paraId="4C5B75C0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lastRenderedPageBreak/>
        <w:t xml:space="preserve"> Prima dell’estrazione un rappresentante dell’organizzazione provvederà a ritirare tutti i biglietti rimasti invenduti e verificherà che serie e numerazione corrispondano a quelle indicate nella fattura di acquisto. </w:t>
      </w:r>
    </w:p>
    <w:p w14:paraId="6BC12D40" w14:textId="77777777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I biglietti rimasti invenduti saranno dichiarati nulli agli effetti del gioco; di tale circostanza si darà atto al pubblico prima dell’estrazione che verrà effettuata alla presenza di un incaricato del Sindaco. </w:t>
      </w:r>
    </w:p>
    <w:p w14:paraId="65B67DD8" w14:textId="6CF1DCAB" w:rsidR="007256DB" w:rsidRPr="00F32DCC" w:rsidRDefault="007256DB" w:rsidP="00F32DCC">
      <w:pPr>
        <w:jc w:val="both"/>
        <w:rPr>
          <w:rFonts w:ascii="Times New Roman" w:hAnsi="Times New Roman" w:cs="Times New Roman"/>
          <w:sz w:val="24"/>
          <w:szCs w:val="24"/>
        </w:rPr>
      </w:pPr>
      <w:r w:rsidRPr="00F32DCC">
        <w:rPr>
          <w:rFonts w:ascii="Times New Roman" w:hAnsi="Times New Roman" w:cs="Times New Roman"/>
          <w:sz w:val="24"/>
          <w:szCs w:val="24"/>
        </w:rPr>
        <w:t xml:space="preserve"> Di dette operazioni è redatto un processo verbale del quale una copia verrà inviata al Prefetto ed una consegnata all’incaricato del Sindaco.</w:t>
      </w:r>
    </w:p>
    <w:sectPr w:rsidR="007256DB" w:rsidRPr="00F32D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6DB"/>
    <w:rsid w:val="004B27BA"/>
    <w:rsid w:val="007256DB"/>
    <w:rsid w:val="00F3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B5F6D"/>
  <w15:chartTrackingRefBased/>
  <w15:docId w15:val="{A2D011E3-347A-45D7-8379-1BA74C59B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32D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TEODORI</dc:creator>
  <cp:keywords/>
  <dc:description/>
  <cp:lastModifiedBy>quadraccia antonella</cp:lastModifiedBy>
  <cp:revision>2</cp:revision>
  <dcterms:created xsi:type="dcterms:W3CDTF">2023-10-02T11:39:00Z</dcterms:created>
  <dcterms:modified xsi:type="dcterms:W3CDTF">2023-10-02T11:39:00Z</dcterms:modified>
</cp:coreProperties>
</file>