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8ACB8" w14:textId="2684B546"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36"/>
          <w:szCs w:val="36"/>
          <w:lang w:eastAsia="it-IT"/>
          <w14:ligatures w14:val="none"/>
        </w:rPr>
        <w:t xml:space="preserve">COMUNE DI </w:t>
      </w:r>
      <w:r w:rsidR="00B65A41">
        <w:rPr>
          <w:rFonts w:ascii="Palatino Linotype" w:eastAsia="Times New Roman" w:hAnsi="Palatino Linotype" w:cs="Times New Roman"/>
          <w:color w:val="000000"/>
          <w:kern w:val="0"/>
          <w:sz w:val="36"/>
          <w:szCs w:val="36"/>
          <w:lang w:eastAsia="it-IT"/>
          <w14:ligatures w14:val="none"/>
        </w:rPr>
        <w:t>SANTA TERESA GALLURA</w:t>
      </w:r>
    </w:p>
    <w:p w14:paraId="4D26C7F0" w14:textId="577E45B0" w:rsidR="00B26DC1" w:rsidRPr="00B26DC1" w:rsidRDefault="00B26DC1" w:rsidP="00B26DC1">
      <w:pPr>
        <w:spacing w:before="206"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20"/>
          <w:szCs w:val="20"/>
          <w:lang w:eastAsia="it-IT"/>
          <w14:ligatures w14:val="none"/>
        </w:rPr>
        <w:t xml:space="preserve">PROVINCIA DI </w:t>
      </w:r>
      <w:r w:rsidR="00B65A41">
        <w:rPr>
          <w:rFonts w:ascii="Palatino Linotype" w:eastAsia="Times New Roman" w:hAnsi="Palatino Linotype" w:cs="Times New Roman"/>
          <w:color w:val="000000"/>
          <w:kern w:val="0"/>
          <w:sz w:val="20"/>
          <w:szCs w:val="20"/>
          <w:lang w:eastAsia="it-IT"/>
          <w14:ligatures w14:val="none"/>
        </w:rPr>
        <w:t>SASSARI</w:t>
      </w:r>
    </w:p>
    <w:p w14:paraId="63D12BC2" w14:textId="29C5963B" w:rsidR="00B26DC1" w:rsidRPr="00B26DC1" w:rsidRDefault="005C2EEA" w:rsidP="005C2EEA">
      <w:pPr>
        <w:spacing w:before="859" w:after="0" w:line="240" w:lineRule="auto"/>
        <w:jc w:val="center"/>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noProof/>
          <w:kern w:val="0"/>
          <w:sz w:val="24"/>
          <w:szCs w:val="24"/>
          <w:lang w:eastAsia="it-IT"/>
        </w:rPr>
        <w:drawing>
          <wp:inline distT="0" distB="0" distL="0" distR="0" wp14:anchorId="55573354" wp14:editId="17584CE6">
            <wp:extent cx="914400" cy="1360932"/>
            <wp:effectExtent l="0" t="0" r="0" b="0"/>
            <wp:docPr id="1319143830" name="Immagine 1" descr="Immagine che contiene cresta, emblema, illustrazione, ricam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43830" name="Immagine 1" descr="Immagine che contiene cresta, emblema, illustrazione, ricam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1360932"/>
                    </a:xfrm>
                    <a:prstGeom prst="rect">
                      <a:avLst/>
                    </a:prstGeom>
                  </pic:spPr>
                </pic:pic>
              </a:graphicData>
            </a:graphic>
          </wp:inline>
        </w:drawing>
      </w:r>
    </w:p>
    <w:p w14:paraId="6A88AF0E" w14:textId="77777777" w:rsidR="00B26DC1" w:rsidRPr="005C2EEA" w:rsidRDefault="00B26DC1" w:rsidP="00B26DC1">
      <w:pPr>
        <w:spacing w:before="651" w:after="0" w:line="240" w:lineRule="auto"/>
        <w:jc w:val="center"/>
        <w:rPr>
          <w:rFonts w:ascii="Times New Roman" w:eastAsia="Times New Roman" w:hAnsi="Times New Roman" w:cs="Times New Roman"/>
          <w:kern w:val="0"/>
          <w:sz w:val="28"/>
          <w:szCs w:val="28"/>
          <w:lang w:eastAsia="it-IT"/>
          <w14:ligatures w14:val="none"/>
        </w:rPr>
      </w:pPr>
      <w:r w:rsidRPr="005C2EEA">
        <w:rPr>
          <w:rFonts w:ascii="Palatino Linotype" w:eastAsia="Times New Roman" w:hAnsi="Palatino Linotype" w:cs="Times New Roman"/>
          <w:b/>
          <w:bCs/>
          <w:color w:val="000000"/>
          <w:kern w:val="0"/>
          <w:sz w:val="28"/>
          <w:szCs w:val="28"/>
          <w:lang w:eastAsia="it-IT"/>
          <w14:ligatures w14:val="none"/>
        </w:rPr>
        <w:t>Regolamento disciplinante l’affidamento di contratti pubblici sottosoglia  </w:t>
      </w:r>
    </w:p>
    <w:p w14:paraId="18B09669" w14:textId="77777777" w:rsidR="00B26DC1" w:rsidRPr="00B26DC1" w:rsidRDefault="00B26DC1" w:rsidP="00B26DC1">
      <w:pPr>
        <w:spacing w:before="316"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8"/>
          <w:szCs w:val="18"/>
          <w:lang w:eastAsia="it-IT"/>
          <w14:ligatures w14:val="none"/>
        </w:rPr>
        <w:t xml:space="preserve">(D. Lgs. 36/2023) </w:t>
      </w:r>
      <w:r w:rsidRPr="00B26DC1">
        <w:rPr>
          <w:rFonts w:ascii="Palatino Linotype" w:eastAsia="Times New Roman" w:hAnsi="Palatino Linotype" w:cs="Times New Roman"/>
          <w:color w:val="000000"/>
          <w:kern w:val="0"/>
          <w:sz w:val="40"/>
          <w:szCs w:val="40"/>
          <w:lang w:eastAsia="it-IT"/>
          <w14:ligatures w14:val="none"/>
        </w:rPr>
        <w:t> </w:t>
      </w:r>
    </w:p>
    <w:p w14:paraId="49870A51" w14:textId="1CF58787" w:rsidR="00B26DC1" w:rsidRPr="00B26DC1" w:rsidRDefault="00B26DC1" w:rsidP="00B26DC1">
      <w:pPr>
        <w:spacing w:after="240" w:line="240" w:lineRule="auto"/>
        <w:rPr>
          <w:rFonts w:ascii="Times New Roman" w:eastAsia="Times New Roman" w:hAnsi="Times New Roman" w:cs="Times New Roman"/>
          <w:kern w:val="0"/>
          <w:sz w:val="24"/>
          <w:szCs w:val="24"/>
          <w:lang w:eastAsia="it-IT"/>
          <w14:ligatures w14:val="none"/>
        </w:rPr>
      </w:pPr>
    </w:p>
    <w:p w14:paraId="5CA3ACE6" w14:textId="77777777" w:rsidR="00B26DC1" w:rsidRPr="00B26DC1" w:rsidRDefault="00B26DC1" w:rsidP="00B26DC1">
      <w:pPr>
        <w:spacing w:before="461" w:after="0" w:line="240" w:lineRule="auto"/>
        <w:jc w:val="right"/>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8"/>
          <w:szCs w:val="18"/>
          <w:lang w:eastAsia="it-IT"/>
          <w14:ligatures w14:val="none"/>
        </w:rPr>
        <w:t>Approvato con deliberazione di Consiglio comunale ____</w:t>
      </w:r>
    </w:p>
    <w:p w14:paraId="0E2CEDD7" w14:textId="77777777" w:rsidR="00B26DC1" w:rsidRPr="00B26DC1" w:rsidRDefault="00B26DC1" w:rsidP="00B26DC1">
      <w:pPr>
        <w:spacing w:after="0" w:line="240" w:lineRule="auto"/>
        <w:rPr>
          <w:rFonts w:ascii="Times New Roman" w:eastAsia="Times New Roman" w:hAnsi="Times New Roman" w:cs="Times New Roman"/>
          <w:kern w:val="0"/>
          <w:sz w:val="24"/>
          <w:szCs w:val="24"/>
          <w:lang w:eastAsia="it-IT"/>
          <w14:ligatures w14:val="none"/>
        </w:rPr>
      </w:pPr>
    </w:p>
    <w:p w14:paraId="6CAD155D" w14:textId="77777777" w:rsidR="00B26DC1" w:rsidRPr="00B26DC1" w:rsidRDefault="00B26DC1" w:rsidP="00B26DC1">
      <w:pPr>
        <w:spacing w:after="0" w:line="240" w:lineRule="auto"/>
        <w:jc w:val="center"/>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b/>
          <w:bCs/>
          <w:color w:val="000000"/>
          <w:kern w:val="0"/>
          <w:lang w:eastAsia="it-IT"/>
          <w14:ligatures w14:val="none"/>
        </w:rPr>
        <w:t>Art. 1 - Oggetto e ambito di applicazione</w:t>
      </w:r>
    </w:p>
    <w:p w14:paraId="47197CD5" w14:textId="77777777" w:rsidR="00B26DC1" w:rsidRPr="00B26DC1" w:rsidRDefault="00B26DC1" w:rsidP="00B26DC1">
      <w:pPr>
        <w:spacing w:after="0" w:line="240" w:lineRule="auto"/>
        <w:jc w:val="both"/>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color w:val="000000"/>
          <w:kern w:val="0"/>
          <w:lang w:eastAsia="it-IT"/>
          <w14:ligatures w14:val="none"/>
        </w:rPr>
        <w:t>Il presente Regolamento disciplina i criteri per l’affidamento dei contratti per i quali è possibile procedere ai sensi dell’art. 50 del Codice dei Contratti Pubblici di cui al d.lgs. 36/2023 (di seguito anche denominato “Codice”), con esclusione degli aspetti procedurali ed esecutivi già disciplinati dal Codice stesso, cui dinamicamente si rinvia.</w:t>
      </w:r>
    </w:p>
    <w:p w14:paraId="37D6CE85" w14:textId="77777777" w:rsidR="00B26DC1" w:rsidRPr="00B26DC1" w:rsidRDefault="00B26DC1" w:rsidP="00B26DC1">
      <w:pPr>
        <w:spacing w:after="0" w:line="240" w:lineRule="auto"/>
        <w:rPr>
          <w:rFonts w:ascii="Times New Roman" w:eastAsia="Times New Roman" w:hAnsi="Times New Roman" w:cs="Times New Roman"/>
          <w:kern w:val="0"/>
          <w:sz w:val="24"/>
          <w:szCs w:val="24"/>
          <w:lang w:eastAsia="it-IT"/>
          <w14:ligatures w14:val="none"/>
        </w:rPr>
      </w:pPr>
    </w:p>
    <w:p w14:paraId="46BDA7AC" w14:textId="125D10C0" w:rsidR="00B26DC1" w:rsidRPr="00B26DC1" w:rsidRDefault="00B26DC1" w:rsidP="00B26DC1">
      <w:pPr>
        <w:spacing w:after="0" w:line="240" w:lineRule="auto"/>
        <w:jc w:val="center"/>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b/>
          <w:bCs/>
          <w:color w:val="000000"/>
          <w:kern w:val="0"/>
          <w:lang w:eastAsia="it-IT"/>
          <w14:ligatures w14:val="none"/>
        </w:rPr>
        <w:t>Art. 2 - Tutela delle imprese di minori dimensioni  </w:t>
      </w:r>
    </w:p>
    <w:p w14:paraId="74D645C7" w14:textId="1D063355" w:rsidR="00B26DC1" w:rsidRPr="00B26DC1" w:rsidRDefault="00B26DC1" w:rsidP="00B26DC1">
      <w:pPr>
        <w:spacing w:after="0" w:line="240" w:lineRule="auto"/>
        <w:jc w:val="both"/>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color w:val="000000"/>
          <w:kern w:val="0"/>
          <w:lang w:eastAsia="it-IT"/>
          <w14:ligatures w14:val="none"/>
        </w:rPr>
        <w:t xml:space="preserve">Nel predisporre la documentazione afferente alle </w:t>
      </w:r>
      <w:hyperlink r:id="rId6" w:history="1">
        <w:r w:rsidRPr="00B26DC1">
          <w:rPr>
            <w:rFonts w:ascii="Palatino Linotype" w:eastAsia="Times New Roman" w:hAnsi="Palatino Linotype" w:cs="Times New Roman"/>
            <w:color w:val="000000"/>
            <w:kern w:val="0"/>
            <w:u w:val="single"/>
            <w:lang w:eastAsia="it-IT"/>
            <w14:ligatures w14:val="none"/>
          </w:rPr>
          <w:t>procedure sottosoglia</w:t>
        </w:r>
      </w:hyperlink>
      <w:r w:rsidRPr="00B26DC1">
        <w:rPr>
          <w:rFonts w:ascii="Palatino Linotype" w:eastAsia="Times New Roman" w:hAnsi="Palatino Linotype" w:cs="Times New Roman"/>
          <w:color w:val="000000"/>
          <w:kern w:val="0"/>
          <w:lang w:eastAsia="it-IT"/>
          <w14:ligatures w14:val="none"/>
        </w:rPr>
        <w:t xml:space="preserve"> è necessario tenere conto delle realtà imprenditoriali di minori dimensioni, fissando requisiti di partecipazione e criteri di valutazione che, senza rinunciare al livello qualitativo delle prestazioni, consentano la partecipazione anche delle micro, piccole e medie imprese, valorizzandone il potenziale. </w:t>
      </w:r>
      <w:r w:rsidRPr="00B26DC1">
        <w:rPr>
          <w:rFonts w:ascii="Palatino Linotype" w:eastAsia="Times New Roman" w:hAnsi="Palatino Linotype" w:cs="Times New Roman"/>
          <w:b/>
          <w:bCs/>
          <w:color w:val="000000"/>
          <w:kern w:val="0"/>
          <w:lang w:eastAsia="it-IT"/>
          <w14:ligatures w14:val="none"/>
        </w:rPr>
        <w:t> </w:t>
      </w:r>
    </w:p>
    <w:p w14:paraId="5B3FCA65" w14:textId="11EC00A6" w:rsidR="00B26DC1" w:rsidRPr="00B26DC1" w:rsidRDefault="00B26DC1" w:rsidP="00B26DC1">
      <w:pPr>
        <w:spacing w:before="293"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lang w:eastAsia="it-IT"/>
          <w14:ligatures w14:val="none"/>
        </w:rPr>
        <w:t>Art. 3 - Obblighi di trasparenza </w:t>
      </w:r>
    </w:p>
    <w:p w14:paraId="39445C22" w14:textId="2E85B230" w:rsidR="00B26DC1" w:rsidRPr="00B26DC1" w:rsidRDefault="00B26DC1" w:rsidP="00B26DC1">
      <w:pPr>
        <w:spacing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t xml:space="preserve">Per le procedure negoziate e gli </w:t>
      </w:r>
      <w:hyperlink r:id="rId7" w:history="1">
        <w:r w:rsidRPr="00B26DC1">
          <w:rPr>
            <w:rFonts w:ascii="Palatino Linotype" w:eastAsia="Times New Roman" w:hAnsi="Palatino Linotype" w:cs="Times New Roman"/>
            <w:color w:val="000000"/>
            <w:kern w:val="0"/>
            <w:u w:val="single"/>
            <w:lang w:eastAsia="it-IT"/>
            <w14:ligatures w14:val="none"/>
          </w:rPr>
          <w:t>affidamenti diretti</w:t>
        </w:r>
      </w:hyperlink>
      <w:r w:rsidRPr="00B26DC1">
        <w:rPr>
          <w:rFonts w:ascii="Palatino Linotype" w:eastAsia="Times New Roman" w:hAnsi="Palatino Linotype" w:cs="Times New Roman"/>
          <w:color w:val="000000"/>
          <w:kern w:val="0"/>
          <w:lang w:eastAsia="it-IT"/>
          <w14:ligatures w14:val="none"/>
        </w:rPr>
        <w:t xml:space="preserve"> di valore inferiore alla soglia europea trovano applicazione le disposizioni in materia di trasparenza e pubblicità previste dal Codice, dal </w:t>
      </w:r>
      <w:r w:rsidR="000B4434">
        <w:rPr>
          <w:rFonts w:ascii="Palatino Linotype" w:eastAsia="Times New Roman" w:hAnsi="Palatino Linotype" w:cs="Times New Roman"/>
          <w:color w:val="000000"/>
          <w:kern w:val="0"/>
          <w:lang w:eastAsia="it-IT"/>
          <w14:ligatures w14:val="none"/>
        </w:rPr>
        <w:t>D</w:t>
      </w:r>
      <w:r w:rsidRPr="00B26DC1">
        <w:rPr>
          <w:rFonts w:ascii="Palatino Linotype" w:eastAsia="Times New Roman" w:hAnsi="Palatino Linotype" w:cs="Times New Roman"/>
          <w:color w:val="000000"/>
          <w:kern w:val="0"/>
          <w:lang w:eastAsia="it-IT"/>
          <w14:ligatures w14:val="none"/>
        </w:rPr>
        <w:t>.</w:t>
      </w:r>
      <w:r w:rsidR="000B4434">
        <w:rPr>
          <w:rFonts w:ascii="Palatino Linotype" w:eastAsia="Times New Roman" w:hAnsi="Palatino Linotype" w:cs="Times New Roman"/>
          <w:color w:val="000000"/>
          <w:kern w:val="0"/>
          <w:lang w:eastAsia="it-IT"/>
          <w14:ligatures w14:val="none"/>
        </w:rPr>
        <w:t>L</w:t>
      </w:r>
      <w:r w:rsidRPr="00B26DC1">
        <w:rPr>
          <w:rFonts w:ascii="Palatino Linotype" w:eastAsia="Times New Roman" w:hAnsi="Palatino Linotype" w:cs="Times New Roman"/>
          <w:color w:val="000000"/>
          <w:kern w:val="0"/>
          <w:lang w:eastAsia="it-IT"/>
          <w14:ligatures w14:val="none"/>
        </w:rPr>
        <w:t>gs. 33/2013 e dalla disciplina comunque applicabile.</w:t>
      </w:r>
    </w:p>
    <w:p w14:paraId="0E8F5D38" w14:textId="77777777" w:rsidR="00B26DC1" w:rsidRPr="00B26DC1" w:rsidRDefault="00B26DC1" w:rsidP="00B26DC1">
      <w:pPr>
        <w:spacing w:after="0" w:line="240" w:lineRule="auto"/>
        <w:rPr>
          <w:rFonts w:ascii="Times New Roman" w:eastAsia="Times New Roman" w:hAnsi="Times New Roman" w:cs="Times New Roman"/>
          <w:kern w:val="0"/>
          <w:sz w:val="24"/>
          <w:szCs w:val="24"/>
          <w:lang w:eastAsia="it-IT"/>
          <w14:ligatures w14:val="none"/>
        </w:rPr>
      </w:pPr>
    </w:p>
    <w:p w14:paraId="2CF7F128" w14:textId="77777777" w:rsidR="00B26DC1" w:rsidRPr="00B26DC1" w:rsidRDefault="00B26DC1" w:rsidP="00B26DC1">
      <w:pPr>
        <w:spacing w:after="0" w:line="240" w:lineRule="auto"/>
        <w:jc w:val="center"/>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b/>
          <w:bCs/>
          <w:color w:val="000000"/>
          <w:kern w:val="0"/>
          <w:lang w:eastAsia="it-IT"/>
          <w14:ligatures w14:val="none"/>
        </w:rPr>
        <w:t>Art. 4 - Principio di rotazione  </w:t>
      </w:r>
    </w:p>
    <w:p w14:paraId="3EEB4DC5" w14:textId="46000185" w:rsidR="00B26DC1" w:rsidRPr="00B26DC1" w:rsidRDefault="00B26DC1" w:rsidP="00B26DC1">
      <w:pPr>
        <w:spacing w:after="0" w:line="240" w:lineRule="auto"/>
        <w:jc w:val="both"/>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color w:val="000000"/>
          <w:kern w:val="0"/>
          <w:lang w:eastAsia="it-IT"/>
          <w14:ligatures w14:val="none"/>
        </w:rPr>
        <w:t>Il Comune si impegna a rispettare il criterio di rotazione al fine di favorire la distribuzione temporale delle opportunità di aggiudicazione tra tutti gli operatori potenzialmente idonei e di evitare il consolidarsi di rapporti esclusivi con alcune imprese.</w:t>
      </w:r>
    </w:p>
    <w:p w14:paraId="641347EB" w14:textId="09472EC0" w:rsidR="00B26DC1" w:rsidRPr="00B26DC1" w:rsidRDefault="00B26DC1" w:rsidP="00B26DC1">
      <w:pPr>
        <w:spacing w:before="136"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t>Il principio di rotazione opera con riferimento ai soli affidamenti disposti in favore del contraente uscente.  </w:t>
      </w:r>
    </w:p>
    <w:p w14:paraId="52BAFBE7" w14:textId="492C3349" w:rsidR="00B26DC1" w:rsidRPr="00B26DC1" w:rsidRDefault="00B26DC1" w:rsidP="00B26DC1">
      <w:pPr>
        <w:spacing w:before="130"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lastRenderedPageBreak/>
        <w:t>La rotazione assume rilevanza con riferimento alle ultime due procedure sottosoglia, quella in corso e quella immediatamente precedente, e comporta il divieto di invitare operatori economici già aggiudicatari o affidatari, salvo le deroghe di cui al presente regolamento. </w:t>
      </w:r>
    </w:p>
    <w:p w14:paraId="6A5EBE95" w14:textId="3FB84F56" w:rsidR="00B26DC1" w:rsidRPr="00B26DC1" w:rsidRDefault="00B26DC1" w:rsidP="00B26DC1">
      <w:pPr>
        <w:spacing w:before="130"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t>La rotazione si attua alle fasce di valore economico definite al successivo art. 5; in tale ultimo caso il divieto di affidamento al contraente uscente si applica con riferimento a ciascuna fascia, fatto salvo quanto previsto all’art. 6.</w:t>
      </w:r>
    </w:p>
    <w:p w14:paraId="4FC24906" w14:textId="77777777" w:rsidR="00B26DC1" w:rsidRPr="00B26DC1" w:rsidRDefault="00B26DC1" w:rsidP="00B26DC1">
      <w:pPr>
        <w:spacing w:before="130"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t>L’</w:t>
      </w:r>
      <w:hyperlink r:id="rId8" w:history="1">
        <w:r w:rsidRPr="00B26DC1">
          <w:rPr>
            <w:rFonts w:ascii="Palatino Linotype" w:eastAsia="Times New Roman" w:hAnsi="Palatino Linotype" w:cs="Times New Roman"/>
            <w:color w:val="000000"/>
            <w:kern w:val="0"/>
            <w:u w:val="single"/>
            <w:lang w:eastAsia="it-IT"/>
            <w14:ligatures w14:val="none"/>
          </w:rPr>
          <w:t>applicazione del principio di rotazione</w:t>
        </w:r>
      </w:hyperlink>
      <w:r w:rsidRPr="00B26DC1">
        <w:rPr>
          <w:rFonts w:ascii="Palatino Linotype" w:eastAsia="Times New Roman" w:hAnsi="Palatino Linotype" w:cs="Times New Roman"/>
          <w:color w:val="000000"/>
          <w:kern w:val="0"/>
          <w:lang w:eastAsia="it-IT"/>
          <w14:ligatures w14:val="none"/>
        </w:rPr>
        <w:t xml:space="preserve"> non può essere aggirata mediante ricorso a:</w:t>
      </w:r>
    </w:p>
    <w:p w14:paraId="6B783E6C" w14:textId="77777777" w:rsidR="00B26DC1" w:rsidRPr="00B26DC1" w:rsidRDefault="00B26DC1" w:rsidP="003C6855">
      <w:pPr>
        <w:numPr>
          <w:ilvl w:val="0"/>
          <w:numId w:val="1"/>
        </w:numPr>
        <w:spacing w:before="130" w:after="0" w:line="240" w:lineRule="auto"/>
        <w:ind w:left="142"/>
        <w:jc w:val="both"/>
        <w:textAlignment w:val="baseline"/>
        <w:rPr>
          <w:rFonts w:ascii="Palatino Linotype" w:eastAsia="Times New Roman" w:hAnsi="Palatino Linotype" w:cs="Times New Roman"/>
          <w:color w:val="000000"/>
          <w:kern w:val="0"/>
          <w:lang w:eastAsia="it-IT"/>
          <w14:ligatures w14:val="none"/>
        </w:rPr>
      </w:pPr>
      <w:r w:rsidRPr="00B26DC1">
        <w:rPr>
          <w:rFonts w:ascii="Palatino Linotype" w:eastAsia="Times New Roman" w:hAnsi="Palatino Linotype" w:cs="Times New Roman"/>
          <w:color w:val="000000"/>
          <w:kern w:val="0"/>
          <w:lang w:eastAsia="it-IT"/>
          <w14:ligatures w14:val="none"/>
        </w:rPr>
        <w:t> arbitrari frazionamenti delle commesse o delle fasce;</w:t>
      </w:r>
    </w:p>
    <w:p w14:paraId="7EFFADDE" w14:textId="77777777" w:rsidR="00B26DC1" w:rsidRPr="00B26DC1" w:rsidRDefault="00B26DC1" w:rsidP="003C6855">
      <w:pPr>
        <w:numPr>
          <w:ilvl w:val="0"/>
          <w:numId w:val="2"/>
        </w:numPr>
        <w:spacing w:after="0" w:line="240" w:lineRule="auto"/>
        <w:ind w:left="709" w:hanging="567"/>
        <w:jc w:val="both"/>
        <w:textAlignment w:val="baseline"/>
        <w:rPr>
          <w:rFonts w:ascii="Palatino Linotype" w:eastAsia="Times New Roman" w:hAnsi="Palatino Linotype" w:cs="Times New Roman"/>
          <w:color w:val="000000"/>
          <w:kern w:val="0"/>
          <w:lang w:eastAsia="it-IT"/>
          <w14:ligatures w14:val="none"/>
        </w:rPr>
      </w:pPr>
      <w:r w:rsidRPr="00B26DC1">
        <w:rPr>
          <w:rFonts w:ascii="Palatino Linotype" w:eastAsia="Times New Roman" w:hAnsi="Palatino Linotype" w:cs="Times New Roman"/>
          <w:color w:val="000000"/>
          <w:kern w:val="0"/>
          <w:lang w:eastAsia="it-IT"/>
          <w14:ligatures w14:val="none"/>
        </w:rPr>
        <w:t>ingiustificate aggregazioni o strumentali determinazioni del calcolo del valore stimato dell’appalto;</w:t>
      </w:r>
    </w:p>
    <w:p w14:paraId="31BE0893" w14:textId="77777777" w:rsidR="00B26DC1" w:rsidRPr="00B26DC1" w:rsidRDefault="00B26DC1" w:rsidP="003C6855">
      <w:pPr>
        <w:numPr>
          <w:ilvl w:val="0"/>
          <w:numId w:val="3"/>
        </w:numPr>
        <w:spacing w:after="0" w:line="240" w:lineRule="auto"/>
        <w:ind w:left="142"/>
        <w:jc w:val="both"/>
        <w:textAlignment w:val="baseline"/>
        <w:rPr>
          <w:rFonts w:ascii="Palatino Linotype" w:eastAsia="Times New Roman" w:hAnsi="Palatino Linotype" w:cs="Times New Roman"/>
          <w:color w:val="000000"/>
          <w:kern w:val="0"/>
          <w:lang w:eastAsia="it-IT"/>
          <w14:ligatures w14:val="none"/>
        </w:rPr>
      </w:pPr>
      <w:r w:rsidRPr="00B26DC1">
        <w:rPr>
          <w:rFonts w:ascii="Palatino Linotype" w:eastAsia="Times New Roman" w:hAnsi="Palatino Linotype" w:cs="Times New Roman"/>
          <w:color w:val="000000"/>
          <w:kern w:val="0"/>
          <w:lang w:eastAsia="it-IT"/>
          <w14:ligatures w14:val="none"/>
        </w:rPr>
        <w:t>alternanza sequenziale di affidamenti diretti o di inviti agli stessi operatori economici.</w:t>
      </w:r>
    </w:p>
    <w:p w14:paraId="625BAAAB" w14:textId="1CC86B97" w:rsidR="00B26DC1" w:rsidRPr="00B26DC1" w:rsidRDefault="00B26DC1" w:rsidP="00B26DC1">
      <w:pPr>
        <w:spacing w:before="290"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lang w:eastAsia="it-IT"/>
          <w14:ligatures w14:val="none"/>
        </w:rPr>
        <w:t>Art. 5 - Individuazione delle fasce di importo ai fini della rotazione  </w:t>
      </w:r>
    </w:p>
    <w:p w14:paraId="71AF55F5" w14:textId="77777777" w:rsidR="00B26DC1" w:rsidRPr="00B26DC1" w:rsidRDefault="00B26DC1" w:rsidP="00B26DC1">
      <w:pPr>
        <w:spacing w:before="130"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t>Salva</w:t>
      </w:r>
      <w:hyperlink r:id="rId9" w:history="1">
        <w:r w:rsidRPr="00B26DC1">
          <w:rPr>
            <w:rFonts w:ascii="Palatino Linotype" w:eastAsia="Times New Roman" w:hAnsi="Palatino Linotype" w:cs="Times New Roman"/>
            <w:color w:val="000000"/>
            <w:kern w:val="0"/>
            <w:u w:val="single"/>
            <w:lang w:eastAsia="it-IT"/>
            <w14:ligatures w14:val="none"/>
          </w:rPr>
          <w:t xml:space="preserve"> l'ipotesi di proroga tecnica</w:t>
        </w:r>
      </w:hyperlink>
      <w:r w:rsidRPr="00B26DC1">
        <w:rPr>
          <w:rFonts w:ascii="Palatino Linotype" w:eastAsia="Times New Roman" w:hAnsi="Palatino Linotype" w:cs="Times New Roman"/>
          <w:color w:val="000000"/>
          <w:kern w:val="0"/>
          <w:lang w:eastAsia="it-IT"/>
          <w14:ligatures w14:val="none"/>
        </w:rPr>
        <w:t>, Tenuto conto di quanto disposto all’art. 49 del Codice, sono di seguito individuate, con riferimento agli affidamenti diretti e ai fini dell’applicazione del principio di rotazione, le seguenti fasce economiche; per l’effetto, il principio di rotazione stesso si applica con riferimento a ciascuna fascia.</w:t>
      </w:r>
    </w:p>
    <w:p w14:paraId="6E819129" w14:textId="77777777" w:rsidR="00B26DC1" w:rsidRPr="00B26DC1" w:rsidRDefault="00B26DC1" w:rsidP="00B26DC1">
      <w:pPr>
        <w:spacing w:after="0" w:line="240" w:lineRule="auto"/>
        <w:jc w:val="both"/>
        <w:rPr>
          <w:rFonts w:ascii="Times New Roman" w:eastAsia="Times New Roman" w:hAnsi="Times New Roman" w:cs="Times New Roman"/>
          <w:kern w:val="0"/>
          <w:sz w:val="24"/>
          <w:szCs w:val="24"/>
          <w:lang w:eastAsia="it-IT"/>
          <w14:ligatures w14:val="none"/>
        </w:rPr>
      </w:pPr>
      <w:r w:rsidRPr="00B26DC1">
        <w:rPr>
          <w:rFonts w:ascii="Arial" w:eastAsia="Times New Roman" w:hAnsi="Arial" w:cs="Arial"/>
          <w:color w:val="000000"/>
          <w:kern w:val="0"/>
          <w:sz w:val="20"/>
          <w:szCs w:val="20"/>
          <w:lang w:eastAsia="it-IT"/>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531"/>
        <w:gridCol w:w="4048"/>
        <w:gridCol w:w="4048"/>
      </w:tblGrid>
      <w:tr w:rsidR="00B26DC1" w:rsidRPr="00B26DC1" w14:paraId="18056A40" w14:textId="77777777" w:rsidTr="006D43BE">
        <w:trPr>
          <w:trHeight w:val="480"/>
          <w:jc w:val="center"/>
        </w:trPr>
        <w:tc>
          <w:tcPr>
            <w:tcW w:w="0" w:type="auto"/>
            <w:tcBorders>
              <w:top w:val="single" w:sz="8" w:space="0" w:color="000001"/>
              <w:left w:val="single" w:sz="8" w:space="0" w:color="000001"/>
              <w:bottom w:val="single" w:sz="8" w:space="0" w:color="000001"/>
              <w:right w:val="single" w:sz="8" w:space="0" w:color="000001"/>
            </w:tcBorders>
            <w:shd w:val="clear" w:color="auto" w:fill="D9E2F3"/>
            <w:hideMark/>
          </w:tcPr>
          <w:p w14:paraId="7BAAC727"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sz w:val="18"/>
                <w:szCs w:val="18"/>
                <w:lang w:eastAsia="it-IT"/>
                <w14:ligatures w14:val="none"/>
              </w:rPr>
              <w:t>Fascia</w:t>
            </w:r>
          </w:p>
        </w:tc>
        <w:tc>
          <w:tcPr>
            <w:tcW w:w="0" w:type="auto"/>
            <w:tcBorders>
              <w:top w:val="single" w:sz="8" w:space="0" w:color="000001"/>
              <w:left w:val="single" w:sz="8" w:space="0" w:color="000001"/>
              <w:bottom w:val="single" w:sz="8" w:space="0" w:color="000001"/>
              <w:right w:val="single" w:sz="8" w:space="0" w:color="000001"/>
            </w:tcBorders>
            <w:shd w:val="clear" w:color="auto" w:fill="D9E2F3"/>
            <w:hideMark/>
          </w:tcPr>
          <w:p w14:paraId="61A72DB5"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sz w:val="18"/>
                <w:szCs w:val="18"/>
                <w:lang w:eastAsia="it-IT"/>
                <w14:ligatures w14:val="none"/>
              </w:rPr>
              <w:t>BENI E SERVIZI</w:t>
            </w:r>
          </w:p>
        </w:tc>
        <w:tc>
          <w:tcPr>
            <w:tcW w:w="0" w:type="auto"/>
            <w:tcBorders>
              <w:top w:val="single" w:sz="8" w:space="0" w:color="000001"/>
              <w:left w:val="single" w:sz="8" w:space="0" w:color="000001"/>
              <w:bottom w:val="single" w:sz="8" w:space="0" w:color="000001"/>
              <w:right w:val="single" w:sz="8" w:space="0" w:color="000001"/>
            </w:tcBorders>
            <w:shd w:val="clear" w:color="auto" w:fill="D9E2F3"/>
            <w:hideMark/>
          </w:tcPr>
          <w:p w14:paraId="65917369"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sz w:val="18"/>
                <w:szCs w:val="18"/>
                <w:lang w:eastAsia="it-IT"/>
                <w14:ligatures w14:val="none"/>
              </w:rPr>
              <w:t>LAVORI</w:t>
            </w:r>
          </w:p>
        </w:tc>
      </w:tr>
      <w:tr w:rsidR="00B26DC1" w:rsidRPr="00B26DC1" w14:paraId="37D384BF" w14:textId="77777777" w:rsidTr="006D43BE">
        <w:trPr>
          <w:trHeight w:val="375"/>
          <w:jc w:val="center"/>
        </w:trPr>
        <w:tc>
          <w:tcPr>
            <w:tcW w:w="0" w:type="auto"/>
            <w:tcBorders>
              <w:top w:val="single" w:sz="8" w:space="0" w:color="000001"/>
              <w:left w:val="single" w:sz="8" w:space="0" w:color="000001"/>
              <w:bottom w:val="single" w:sz="8" w:space="0" w:color="000001"/>
              <w:right w:val="single" w:sz="8" w:space="0" w:color="000001"/>
            </w:tcBorders>
            <w:hideMark/>
          </w:tcPr>
          <w:p w14:paraId="22C9CA55"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A</w:t>
            </w:r>
          </w:p>
        </w:tc>
        <w:tc>
          <w:tcPr>
            <w:tcW w:w="0" w:type="auto"/>
            <w:tcBorders>
              <w:top w:val="single" w:sz="8" w:space="0" w:color="000001"/>
              <w:left w:val="single" w:sz="8" w:space="0" w:color="000001"/>
              <w:bottom w:val="single" w:sz="8" w:space="0" w:color="000001"/>
              <w:right w:val="single" w:sz="8" w:space="0" w:color="000001"/>
            </w:tcBorders>
            <w:hideMark/>
          </w:tcPr>
          <w:p w14:paraId="3263D162"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€ 5.000 e &lt; € 15.000</w:t>
            </w:r>
          </w:p>
        </w:tc>
        <w:tc>
          <w:tcPr>
            <w:tcW w:w="0" w:type="auto"/>
            <w:tcBorders>
              <w:top w:val="single" w:sz="8" w:space="0" w:color="000001"/>
              <w:left w:val="single" w:sz="8" w:space="0" w:color="000001"/>
              <w:bottom w:val="single" w:sz="8" w:space="0" w:color="000001"/>
              <w:right w:val="single" w:sz="8" w:space="0" w:color="000001"/>
            </w:tcBorders>
            <w:hideMark/>
          </w:tcPr>
          <w:p w14:paraId="3A64606A"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€ 5.000 e &lt; € 15.000</w:t>
            </w:r>
          </w:p>
        </w:tc>
      </w:tr>
      <w:tr w:rsidR="00B26DC1" w:rsidRPr="00B26DC1" w14:paraId="3FB5C120" w14:textId="77777777" w:rsidTr="006D43BE">
        <w:trPr>
          <w:trHeight w:val="375"/>
          <w:jc w:val="center"/>
        </w:trPr>
        <w:tc>
          <w:tcPr>
            <w:tcW w:w="0" w:type="auto"/>
            <w:tcBorders>
              <w:top w:val="single" w:sz="8" w:space="0" w:color="000001"/>
              <w:left w:val="single" w:sz="8" w:space="0" w:color="000001"/>
              <w:bottom w:val="single" w:sz="8" w:space="0" w:color="000001"/>
              <w:right w:val="single" w:sz="8" w:space="0" w:color="000001"/>
            </w:tcBorders>
            <w:hideMark/>
          </w:tcPr>
          <w:p w14:paraId="48985CBE"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B</w:t>
            </w:r>
          </w:p>
        </w:tc>
        <w:tc>
          <w:tcPr>
            <w:tcW w:w="0" w:type="auto"/>
            <w:tcBorders>
              <w:top w:val="single" w:sz="8" w:space="0" w:color="000001"/>
              <w:left w:val="single" w:sz="8" w:space="0" w:color="000001"/>
              <w:bottom w:val="single" w:sz="8" w:space="0" w:color="000001"/>
              <w:right w:val="single" w:sz="8" w:space="0" w:color="000001"/>
            </w:tcBorders>
            <w:hideMark/>
          </w:tcPr>
          <w:p w14:paraId="182AB832"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€ 15.000 e &lt; € 30.000</w:t>
            </w:r>
          </w:p>
        </w:tc>
        <w:tc>
          <w:tcPr>
            <w:tcW w:w="0" w:type="auto"/>
            <w:tcBorders>
              <w:top w:val="single" w:sz="8" w:space="0" w:color="000001"/>
              <w:left w:val="single" w:sz="8" w:space="0" w:color="000001"/>
              <w:bottom w:val="single" w:sz="8" w:space="0" w:color="000001"/>
              <w:right w:val="single" w:sz="8" w:space="0" w:color="000001"/>
            </w:tcBorders>
            <w:hideMark/>
          </w:tcPr>
          <w:p w14:paraId="39E92178"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€ 15.000 e &lt; € 30.000</w:t>
            </w:r>
          </w:p>
        </w:tc>
      </w:tr>
      <w:tr w:rsidR="00B26DC1" w:rsidRPr="00B26DC1" w14:paraId="3DAD6E15" w14:textId="77777777" w:rsidTr="006D43BE">
        <w:trPr>
          <w:trHeight w:val="375"/>
          <w:jc w:val="center"/>
        </w:trPr>
        <w:tc>
          <w:tcPr>
            <w:tcW w:w="0" w:type="auto"/>
            <w:tcBorders>
              <w:top w:val="single" w:sz="8" w:space="0" w:color="000001"/>
              <w:left w:val="single" w:sz="8" w:space="0" w:color="000001"/>
              <w:bottom w:val="single" w:sz="8" w:space="0" w:color="000001"/>
              <w:right w:val="single" w:sz="8" w:space="0" w:color="000001"/>
            </w:tcBorders>
            <w:hideMark/>
          </w:tcPr>
          <w:p w14:paraId="3ABEBBDF"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C</w:t>
            </w:r>
          </w:p>
        </w:tc>
        <w:tc>
          <w:tcPr>
            <w:tcW w:w="0" w:type="auto"/>
            <w:tcBorders>
              <w:top w:val="single" w:sz="8" w:space="0" w:color="000001"/>
              <w:left w:val="single" w:sz="8" w:space="0" w:color="000001"/>
              <w:bottom w:val="single" w:sz="8" w:space="0" w:color="000001"/>
              <w:right w:val="single" w:sz="8" w:space="0" w:color="000001"/>
            </w:tcBorders>
            <w:hideMark/>
          </w:tcPr>
          <w:p w14:paraId="423A2C48"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€ 30.000 e &lt; € 40.000</w:t>
            </w:r>
          </w:p>
        </w:tc>
        <w:tc>
          <w:tcPr>
            <w:tcW w:w="0" w:type="auto"/>
            <w:tcBorders>
              <w:top w:val="single" w:sz="8" w:space="0" w:color="000001"/>
              <w:left w:val="single" w:sz="8" w:space="0" w:color="000001"/>
              <w:bottom w:val="single" w:sz="8" w:space="0" w:color="000001"/>
              <w:right w:val="single" w:sz="8" w:space="0" w:color="000001"/>
            </w:tcBorders>
            <w:hideMark/>
          </w:tcPr>
          <w:p w14:paraId="4CC1B0EE"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€ 30.000 e &lt; € 40.000</w:t>
            </w:r>
          </w:p>
        </w:tc>
      </w:tr>
      <w:tr w:rsidR="00B26DC1" w:rsidRPr="00B26DC1" w14:paraId="06B568F0" w14:textId="77777777" w:rsidTr="006D43BE">
        <w:trPr>
          <w:trHeight w:val="375"/>
          <w:jc w:val="center"/>
        </w:trPr>
        <w:tc>
          <w:tcPr>
            <w:tcW w:w="0" w:type="auto"/>
            <w:tcBorders>
              <w:top w:val="single" w:sz="8" w:space="0" w:color="000001"/>
              <w:left w:val="single" w:sz="8" w:space="0" w:color="000001"/>
              <w:bottom w:val="single" w:sz="8" w:space="0" w:color="000001"/>
              <w:right w:val="single" w:sz="8" w:space="0" w:color="000001"/>
            </w:tcBorders>
            <w:hideMark/>
          </w:tcPr>
          <w:p w14:paraId="4164EA61"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D</w:t>
            </w:r>
          </w:p>
        </w:tc>
        <w:tc>
          <w:tcPr>
            <w:tcW w:w="0" w:type="auto"/>
            <w:tcBorders>
              <w:top w:val="single" w:sz="8" w:space="0" w:color="000001"/>
              <w:left w:val="single" w:sz="8" w:space="0" w:color="000001"/>
              <w:bottom w:val="single" w:sz="8" w:space="0" w:color="000001"/>
              <w:right w:val="single" w:sz="8" w:space="0" w:color="000001"/>
            </w:tcBorders>
            <w:hideMark/>
          </w:tcPr>
          <w:p w14:paraId="57806168"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€ 40.000 e &lt; € 80.000</w:t>
            </w:r>
          </w:p>
        </w:tc>
        <w:tc>
          <w:tcPr>
            <w:tcW w:w="0" w:type="auto"/>
            <w:tcBorders>
              <w:top w:val="single" w:sz="8" w:space="0" w:color="000001"/>
              <w:left w:val="single" w:sz="8" w:space="0" w:color="000001"/>
              <w:bottom w:val="single" w:sz="8" w:space="0" w:color="000001"/>
              <w:right w:val="single" w:sz="8" w:space="0" w:color="000001"/>
            </w:tcBorders>
            <w:hideMark/>
          </w:tcPr>
          <w:p w14:paraId="7325A846"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€ 40.000 e &lt; € 80.000</w:t>
            </w:r>
          </w:p>
        </w:tc>
      </w:tr>
      <w:tr w:rsidR="00B26DC1" w:rsidRPr="00B26DC1" w14:paraId="6DEE1F5F" w14:textId="77777777" w:rsidTr="006D43BE">
        <w:trPr>
          <w:trHeight w:val="465"/>
          <w:jc w:val="center"/>
        </w:trPr>
        <w:tc>
          <w:tcPr>
            <w:tcW w:w="0" w:type="auto"/>
            <w:tcBorders>
              <w:top w:val="single" w:sz="8" w:space="0" w:color="000001"/>
              <w:left w:val="single" w:sz="8" w:space="0" w:color="000001"/>
              <w:bottom w:val="single" w:sz="8" w:space="0" w:color="000001"/>
              <w:right w:val="single" w:sz="8" w:space="0" w:color="000001"/>
            </w:tcBorders>
            <w:hideMark/>
          </w:tcPr>
          <w:p w14:paraId="78877B0D"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E</w:t>
            </w:r>
          </w:p>
        </w:tc>
        <w:tc>
          <w:tcPr>
            <w:tcW w:w="0" w:type="auto"/>
            <w:tcBorders>
              <w:top w:val="single" w:sz="8" w:space="0" w:color="000001"/>
              <w:left w:val="single" w:sz="8" w:space="0" w:color="000001"/>
              <w:bottom w:val="single" w:sz="8" w:space="0" w:color="000001"/>
              <w:right w:val="single" w:sz="8" w:space="0" w:color="000001"/>
            </w:tcBorders>
            <w:hideMark/>
          </w:tcPr>
          <w:p w14:paraId="0088A6F3"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€ 80.000 e inferiore alla soglia per l’affidamento diretto </w:t>
            </w:r>
          </w:p>
        </w:tc>
        <w:tc>
          <w:tcPr>
            <w:tcW w:w="0" w:type="auto"/>
            <w:tcBorders>
              <w:top w:val="single" w:sz="8" w:space="0" w:color="000001"/>
              <w:left w:val="single" w:sz="8" w:space="0" w:color="000001"/>
              <w:bottom w:val="single" w:sz="8" w:space="0" w:color="000001"/>
              <w:right w:val="single" w:sz="8" w:space="0" w:color="000001"/>
            </w:tcBorders>
            <w:hideMark/>
          </w:tcPr>
          <w:p w14:paraId="15796A42"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&gt; € 80.000 e inferiore alla soglia per l’affidamento diretto </w:t>
            </w:r>
          </w:p>
        </w:tc>
      </w:tr>
    </w:tbl>
    <w:p w14:paraId="63366A18" w14:textId="1AB80D95" w:rsidR="00B26DC1" w:rsidRPr="00B26DC1" w:rsidRDefault="00B26DC1" w:rsidP="00B26DC1">
      <w:pPr>
        <w:spacing w:before="302"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lang w:eastAsia="it-IT"/>
          <w14:ligatures w14:val="none"/>
        </w:rPr>
        <w:t>Art. 6 - Deroga all’obbligo di rotazione  </w:t>
      </w:r>
    </w:p>
    <w:p w14:paraId="39911693" w14:textId="3B3632A2" w:rsidR="00B26DC1" w:rsidRPr="00B26DC1" w:rsidRDefault="00B26DC1" w:rsidP="00B26DC1">
      <w:pPr>
        <w:spacing w:before="136"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t>Fermo restando quanto disposto dall’art. 5 del presente Regolamento nonché dall’art. 49, comma 6, del D. Lgs. 36/2023, per affidamenti di importo pari o superiore ad € 5.000,00 è possibile derogare al principio di rotazione solo a fronte di analitica motivazione che giustifichi la deroga con riferimento, tra le altre, a una o più delle seguenti condizioni:</w:t>
      </w:r>
    </w:p>
    <w:p w14:paraId="0E1BE8E9" w14:textId="77777777" w:rsidR="00B26DC1" w:rsidRPr="00B26DC1" w:rsidRDefault="00B26DC1" w:rsidP="00EF37ED">
      <w:pPr>
        <w:numPr>
          <w:ilvl w:val="0"/>
          <w:numId w:val="4"/>
        </w:numPr>
        <w:spacing w:before="136" w:after="0" w:line="240" w:lineRule="auto"/>
        <w:ind w:left="426" w:hanging="426"/>
        <w:jc w:val="both"/>
        <w:textAlignment w:val="baseline"/>
        <w:rPr>
          <w:rFonts w:ascii="Palatino Linotype" w:eastAsia="Times New Roman" w:hAnsi="Palatino Linotype" w:cs="Times New Roman"/>
          <w:color w:val="000000"/>
          <w:kern w:val="0"/>
          <w:lang w:eastAsia="it-IT"/>
          <w14:ligatures w14:val="none"/>
        </w:rPr>
      </w:pPr>
      <w:r w:rsidRPr="00B26DC1">
        <w:rPr>
          <w:rFonts w:ascii="Palatino Linotype" w:eastAsia="Times New Roman" w:hAnsi="Palatino Linotype" w:cs="Times New Roman"/>
          <w:color w:val="000000"/>
          <w:kern w:val="0"/>
          <w:lang w:eastAsia="it-IT"/>
          <w14:ligatures w14:val="none"/>
        </w:rPr>
        <w:t>particolari caratteristiche o specificità di gestione del bene, di esecuzione del servizio o del lavoro da acquisire, tali da richiedere la consultazione di operatori economici con esperienza specifica (diritti di privativa, specificità artistiche e/o culturali, ecc.);</w:t>
      </w:r>
    </w:p>
    <w:p w14:paraId="5FC2EE83" w14:textId="77777777" w:rsidR="00B26DC1" w:rsidRPr="00B26DC1" w:rsidRDefault="00B26DC1" w:rsidP="00EF37ED">
      <w:pPr>
        <w:numPr>
          <w:ilvl w:val="0"/>
          <w:numId w:val="5"/>
        </w:numPr>
        <w:spacing w:after="0" w:line="240" w:lineRule="auto"/>
        <w:ind w:left="426" w:hanging="426"/>
        <w:jc w:val="both"/>
        <w:textAlignment w:val="baseline"/>
        <w:rPr>
          <w:rFonts w:ascii="Palatino Linotype" w:eastAsia="Times New Roman" w:hAnsi="Palatino Linotype" w:cs="Times New Roman"/>
          <w:color w:val="000000"/>
          <w:kern w:val="0"/>
          <w:lang w:eastAsia="it-IT"/>
          <w14:ligatures w14:val="none"/>
        </w:rPr>
      </w:pPr>
      <w:r w:rsidRPr="00B26DC1">
        <w:rPr>
          <w:rFonts w:ascii="Palatino Linotype" w:eastAsia="Times New Roman" w:hAnsi="Palatino Linotype" w:cs="Times New Roman"/>
          <w:color w:val="000000"/>
          <w:kern w:val="0"/>
          <w:lang w:eastAsia="it-IT"/>
          <w14:ligatures w14:val="none"/>
        </w:rPr>
        <w:t>servizi, beni o lavori relativi a particolari forniture, attività o opere che, se forniti o eseguiti da soggetti diversi da quelli a cui sia stata affidata precedentemente la realizzazione della fornitura o del lavoro, possano recare grave pregiudizio all’Amministrazione per evidenti e documentate problematiche tecniche e/o operative;</w:t>
      </w:r>
    </w:p>
    <w:p w14:paraId="5444F673" w14:textId="77777777" w:rsidR="00B26DC1" w:rsidRPr="00B26DC1" w:rsidRDefault="00B26DC1" w:rsidP="00EF37ED">
      <w:pPr>
        <w:numPr>
          <w:ilvl w:val="0"/>
          <w:numId w:val="6"/>
        </w:numPr>
        <w:spacing w:after="0" w:line="240" w:lineRule="auto"/>
        <w:ind w:left="426" w:hanging="426"/>
        <w:jc w:val="both"/>
        <w:textAlignment w:val="baseline"/>
        <w:rPr>
          <w:rFonts w:ascii="Palatino Linotype" w:eastAsia="Times New Roman" w:hAnsi="Palatino Linotype" w:cs="Times New Roman"/>
          <w:color w:val="000000"/>
          <w:kern w:val="0"/>
          <w:lang w:eastAsia="it-IT"/>
          <w14:ligatures w14:val="none"/>
        </w:rPr>
      </w:pPr>
      <w:r w:rsidRPr="00B26DC1">
        <w:rPr>
          <w:rFonts w:ascii="Palatino Linotype" w:eastAsia="Times New Roman" w:hAnsi="Palatino Linotype" w:cs="Times New Roman"/>
          <w:color w:val="000000"/>
          <w:kern w:val="0"/>
          <w:lang w:eastAsia="it-IT"/>
          <w14:ligatures w14:val="none"/>
        </w:rPr>
        <w:t>circostanze di somma urgenza di cui all’articolo 140 del Codice;</w:t>
      </w:r>
    </w:p>
    <w:p w14:paraId="74AF71F7" w14:textId="77777777" w:rsidR="00B26DC1" w:rsidRPr="00B26DC1" w:rsidRDefault="00B26DC1" w:rsidP="00EF37ED">
      <w:pPr>
        <w:numPr>
          <w:ilvl w:val="0"/>
          <w:numId w:val="7"/>
        </w:numPr>
        <w:spacing w:after="0" w:line="240" w:lineRule="auto"/>
        <w:ind w:left="426" w:hanging="426"/>
        <w:jc w:val="both"/>
        <w:textAlignment w:val="baseline"/>
        <w:rPr>
          <w:rFonts w:ascii="Palatino Linotype" w:eastAsia="Times New Roman" w:hAnsi="Palatino Linotype" w:cs="Times New Roman"/>
          <w:color w:val="000000"/>
          <w:kern w:val="0"/>
          <w:lang w:eastAsia="it-IT"/>
          <w14:ligatures w14:val="none"/>
        </w:rPr>
      </w:pPr>
      <w:r w:rsidRPr="00B26DC1">
        <w:rPr>
          <w:rFonts w:ascii="Palatino Linotype" w:eastAsia="Times New Roman" w:hAnsi="Palatino Linotype" w:cs="Times New Roman"/>
          <w:color w:val="000000"/>
          <w:kern w:val="0"/>
          <w:lang w:eastAsia="it-IT"/>
          <w14:ligatures w14:val="none"/>
        </w:rPr>
        <w:t>particolare struttura del mercato e riscontrata effettiva assenza di alternative;</w:t>
      </w:r>
    </w:p>
    <w:p w14:paraId="09B408EB" w14:textId="77777777" w:rsidR="00B26DC1" w:rsidRPr="00B26DC1" w:rsidRDefault="00B26DC1" w:rsidP="00EF37ED">
      <w:pPr>
        <w:numPr>
          <w:ilvl w:val="0"/>
          <w:numId w:val="8"/>
        </w:numPr>
        <w:spacing w:after="0" w:line="240" w:lineRule="auto"/>
        <w:ind w:left="426" w:hanging="426"/>
        <w:jc w:val="both"/>
        <w:textAlignment w:val="baseline"/>
        <w:rPr>
          <w:rFonts w:ascii="Palatino Linotype" w:eastAsia="Times New Roman" w:hAnsi="Palatino Linotype" w:cs="Times New Roman"/>
          <w:color w:val="000000"/>
          <w:kern w:val="0"/>
          <w:lang w:eastAsia="it-IT"/>
          <w14:ligatures w14:val="none"/>
        </w:rPr>
      </w:pPr>
      <w:r w:rsidRPr="00B26DC1">
        <w:rPr>
          <w:rFonts w:ascii="Palatino Linotype" w:eastAsia="Times New Roman" w:hAnsi="Palatino Linotype" w:cs="Times New Roman"/>
          <w:color w:val="000000"/>
          <w:kern w:val="0"/>
          <w:lang w:eastAsia="it-IT"/>
          <w14:ligatures w14:val="none"/>
        </w:rPr>
        <w:t>casi motivati con riferimento alla struttura del mercato e alla effettiva assenza di alternative, nonché di accurata esecuzione del precedente contratto.</w:t>
      </w:r>
    </w:p>
    <w:p w14:paraId="5AC6E055" w14:textId="4FC47B60" w:rsidR="00B26DC1" w:rsidRPr="00B26DC1" w:rsidRDefault="00B26DC1" w:rsidP="00B26DC1">
      <w:pPr>
        <w:spacing w:before="130"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lastRenderedPageBreak/>
        <w:t>In ogni caso la rotazione non trova applicazione nell’ipotesi in cui non venga operata alcuna limitazione numerica sugli operatori coinvolti nella singola procedura, ai sensi dell’art. 49, c. 5, del Codice.</w:t>
      </w:r>
    </w:p>
    <w:p w14:paraId="6EFC098D" w14:textId="58DDAC6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lang w:eastAsia="it-IT"/>
          <w14:ligatures w14:val="none"/>
        </w:rPr>
        <w:t xml:space="preserve">Art. </w:t>
      </w:r>
      <w:r w:rsidR="006D43BE">
        <w:rPr>
          <w:rFonts w:ascii="Palatino Linotype" w:eastAsia="Times New Roman" w:hAnsi="Palatino Linotype" w:cs="Times New Roman"/>
          <w:b/>
          <w:bCs/>
          <w:color w:val="000000"/>
          <w:kern w:val="0"/>
          <w:lang w:eastAsia="it-IT"/>
          <w14:ligatures w14:val="none"/>
        </w:rPr>
        <w:t>7</w:t>
      </w:r>
      <w:r w:rsidRPr="00B26DC1">
        <w:rPr>
          <w:rFonts w:ascii="Palatino Linotype" w:eastAsia="Times New Roman" w:hAnsi="Palatino Linotype" w:cs="Times New Roman"/>
          <w:b/>
          <w:bCs/>
          <w:color w:val="000000"/>
          <w:kern w:val="0"/>
          <w:lang w:eastAsia="it-IT"/>
          <w14:ligatures w14:val="none"/>
        </w:rPr>
        <w:t> - Controlli e stipula</w:t>
      </w:r>
    </w:p>
    <w:p w14:paraId="56076959" w14:textId="77777777" w:rsidR="00B26DC1" w:rsidRPr="00B26DC1" w:rsidRDefault="00B26DC1" w:rsidP="00B26DC1">
      <w:pPr>
        <w:spacing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t>Tenuto conto di quanto previsto all’art. 52 del Codice, nella tabella che segue sono individuate le modalità di verifica dei requisiti dichiarati dagli operatori in sede di procedura di affidamento.</w:t>
      </w:r>
    </w:p>
    <w:p w14:paraId="7561505F" w14:textId="77777777" w:rsidR="00B26DC1" w:rsidRPr="00B26DC1" w:rsidRDefault="00B26DC1" w:rsidP="00B26DC1">
      <w:pPr>
        <w:spacing w:after="0" w:line="240" w:lineRule="auto"/>
        <w:rPr>
          <w:rFonts w:ascii="Times New Roman" w:eastAsia="Times New Roman" w:hAnsi="Times New Roman" w:cs="Times New Roman"/>
          <w:kern w:val="0"/>
          <w:sz w:val="24"/>
          <w:szCs w:val="24"/>
          <w:lang w:eastAsia="it-IT"/>
          <w14:ligatures w14:val="none"/>
        </w:rPr>
      </w:pPr>
    </w:p>
    <w:tbl>
      <w:tblPr>
        <w:tblW w:w="9788" w:type="dxa"/>
        <w:tblCellMar>
          <w:top w:w="15" w:type="dxa"/>
          <w:left w:w="15" w:type="dxa"/>
          <w:bottom w:w="15" w:type="dxa"/>
          <w:right w:w="15" w:type="dxa"/>
        </w:tblCellMar>
        <w:tblLook w:val="04A0" w:firstRow="1" w:lastRow="0" w:firstColumn="1" w:lastColumn="0" w:noHBand="0" w:noVBand="1"/>
      </w:tblPr>
      <w:tblGrid>
        <w:gridCol w:w="2049"/>
        <w:gridCol w:w="7739"/>
      </w:tblGrid>
      <w:tr w:rsidR="00B26DC1" w:rsidRPr="00B26DC1" w14:paraId="1BD3F83A" w14:textId="77777777" w:rsidTr="00B26DC1">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15552EF"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lang w:eastAsia="it-IT"/>
                <w14:ligatures w14:val="none"/>
              </w:rPr>
              <w:t>Fattispecie</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15B6F92"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lang w:eastAsia="it-IT"/>
                <w14:ligatures w14:val="none"/>
              </w:rPr>
              <w:t>Modalità di controllo</w:t>
            </w:r>
          </w:p>
        </w:tc>
      </w:tr>
      <w:tr w:rsidR="00B26DC1" w:rsidRPr="00B26DC1" w14:paraId="2F5D6237" w14:textId="77777777" w:rsidTr="00B26D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E687C9"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20"/>
                <w:szCs w:val="20"/>
                <w:lang w:eastAsia="it-IT"/>
                <w14:ligatures w14:val="none"/>
              </w:rPr>
              <w:t>A) Affidamenti di valore inferiore a € 40.000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40521" w14:textId="4C0B40A0" w:rsidR="00B26DC1" w:rsidRPr="00B26DC1" w:rsidRDefault="00B26DC1" w:rsidP="00B26DC1">
            <w:pPr>
              <w:spacing w:before="10"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 xml:space="preserve">Gli operatori economici attestano con dichiarazione sostitutiva di atto di notorietà il possesso dei requisiti richiesti. Il RUP provvede, entro il 31 dicembre di ogni anno, alla verifica delle dichiarazioni fornite previo sorteggio di un </w:t>
            </w:r>
            <w:r w:rsidRPr="00B26DC1">
              <w:rPr>
                <w:rFonts w:ascii="Palatino Linotype" w:eastAsia="Times New Roman" w:hAnsi="Palatino Linotype" w:cs="Times New Roman"/>
                <w:b/>
                <w:bCs/>
                <w:color w:val="000000"/>
                <w:kern w:val="0"/>
                <w:sz w:val="16"/>
                <w:szCs w:val="16"/>
                <w:lang w:eastAsia="it-IT"/>
                <w14:ligatures w14:val="none"/>
              </w:rPr>
              <w:t>campione pari al 10%</w:t>
            </w:r>
            <w:r w:rsidRPr="00B26DC1">
              <w:rPr>
                <w:rFonts w:ascii="Palatino Linotype" w:eastAsia="Times New Roman" w:hAnsi="Palatino Linotype" w:cs="Times New Roman"/>
                <w:color w:val="000000"/>
                <w:kern w:val="0"/>
                <w:sz w:val="16"/>
                <w:szCs w:val="16"/>
                <w:lang w:eastAsia="it-IT"/>
                <w14:ligatures w14:val="none"/>
              </w:rPr>
              <w:t xml:space="preserve"> degli affidamenti diretti infra € 40.000 disposti nel corso dell’anno solare arrotondato all’unità superiore. </w:t>
            </w:r>
          </w:p>
          <w:p w14:paraId="4F75BE65" w14:textId="77777777" w:rsidR="00B26DC1" w:rsidRPr="00B26DC1" w:rsidRDefault="00B26DC1" w:rsidP="00B26DC1">
            <w:pPr>
              <w:spacing w:after="0" w:line="240" w:lineRule="auto"/>
              <w:rPr>
                <w:rFonts w:ascii="Times New Roman" w:eastAsia="Times New Roman" w:hAnsi="Times New Roman" w:cs="Times New Roman"/>
                <w:kern w:val="0"/>
                <w:sz w:val="24"/>
                <w:szCs w:val="24"/>
                <w:lang w:eastAsia="it-IT"/>
                <w14:ligatures w14:val="none"/>
              </w:rPr>
            </w:pPr>
          </w:p>
          <w:p w14:paraId="731608D2" w14:textId="5668A7D7" w:rsidR="00B26DC1" w:rsidRPr="00B26DC1" w:rsidRDefault="00B26DC1" w:rsidP="00B26DC1">
            <w:pPr>
              <w:spacing w:before="10"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Quando in conseguenza della verifica non sia confermato il possesso dei requisiti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di 6</w:t>
            </w:r>
            <w:r w:rsidR="00524DFC">
              <w:rPr>
                <w:rFonts w:ascii="Palatino Linotype" w:eastAsia="Times New Roman" w:hAnsi="Palatino Linotype" w:cs="Times New Roman"/>
                <w:color w:val="000000"/>
                <w:kern w:val="0"/>
                <w:sz w:val="16"/>
                <w:szCs w:val="16"/>
                <w:lang w:eastAsia="it-IT"/>
                <w14:ligatures w14:val="none"/>
              </w:rPr>
              <w:t xml:space="preserve"> </w:t>
            </w:r>
            <w:r w:rsidRPr="00B26DC1">
              <w:rPr>
                <w:rFonts w:ascii="Palatino Linotype" w:eastAsia="Times New Roman" w:hAnsi="Palatino Linotype" w:cs="Times New Roman"/>
                <w:color w:val="000000"/>
                <w:kern w:val="0"/>
                <w:sz w:val="16"/>
                <w:szCs w:val="16"/>
                <w:lang w:eastAsia="it-IT"/>
                <w14:ligatures w14:val="none"/>
              </w:rPr>
              <w:t>mesi, decorrenti dall’adozione del provvedimento.</w:t>
            </w:r>
          </w:p>
        </w:tc>
      </w:tr>
      <w:tr w:rsidR="00B26DC1" w:rsidRPr="00B26DC1" w14:paraId="4EA49681" w14:textId="77777777" w:rsidTr="00B26DC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DB09F" w14:textId="77777777" w:rsidR="00B26DC1" w:rsidRPr="00B26DC1" w:rsidRDefault="00B26DC1" w:rsidP="00B26DC1">
            <w:pPr>
              <w:spacing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20"/>
                <w:szCs w:val="20"/>
                <w:lang w:eastAsia="it-IT"/>
                <w14:ligatures w14:val="none"/>
              </w:rPr>
              <w:t>B) Affidamenti di valore pari o superiori ad € 40.000,00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D9908" w14:textId="57A0169C" w:rsidR="00B26DC1" w:rsidRPr="00B26DC1" w:rsidRDefault="00B26DC1" w:rsidP="00B26DC1">
            <w:pPr>
              <w:spacing w:before="10"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sz w:val="16"/>
                <w:szCs w:val="16"/>
                <w:lang w:eastAsia="it-IT"/>
                <w14:ligatures w14:val="none"/>
              </w:rPr>
              <w:t xml:space="preserve">Gli operatori economici attestano con DGUE il possesso dei requisiti richiesti. A valle della procedura, il RUP provvede alla verifica di quanto dichiarato ai sensi del </w:t>
            </w:r>
            <w:r w:rsidR="00866E87">
              <w:rPr>
                <w:rFonts w:ascii="Palatino Linotype" w:eastAsia="Times New Roman" w:hAnsi="Palatino Linotype" w:cs="Times New Roman"/>
                <w:color w:val="000000"/>
                <w:kern w:val="0"/>
                <w:sz w:val="16"/>
                <w:szCs w:val="16"/>
                <w:lang w:eastAsia="it-IT"/>
                <w14:ligatures w14:val="none"/>
              </w:rPr>
              <w:t>D</w:t>
            </w:r>
            <w:r w:rsidRPr="00B26DC1">
              <w:rPr>
                <w:rFonts w:ascii="Palatino Linotype" w:eastAsia="Times New Roman" w:hAnsi="Palatino Linotype" w:cs="Times New Roman"/>
                <w:color w:val="000000"/>
                <w:kern w:val="0"/>
                <w:sz w:val="16"/>
                <w:szCs w:val="16"/>
                <w:lang w:eastAsia="it-IT"/>
                <w14:ligatures w14:val="none"/>
              </w:rPr>
              <w:t>.</w:t>
            </w:r>
            <w:r w:rsidR="00866E87">
              <w:rPr>
                <w:rFonts w:ascii="Palatino Linotype" w:eastAsia="Times New Roman" w:hAnsi="Palatino Linotype" w:cs="Times New Roman"/>
                <w:color w:val="000000"/>
                <w:kern w:val="0"/>
                <w:sz w:val="16"/>
                <w:szCs w:val="16"/>
                <w:lang w:eastAsia="it-IT"/>
                <w14:ligatures w14:val="none"/>
              </w:rPr>
              <w:t>L</w:t>
            </w:r>
            <w:r w:rsidRPr="00B26DC1">
              <w:rPr>
                <w:rFonts w:ascii="Palatino Linotype" w:eastAsia="Times New Roman" w:hAnsi="Palatino Linotype" w:cs="Times New Roman"/>
                <w:color w:val="000000"/>
                <w:kern w:val="0"/>
                <w:sz w:val="16"/>
                <w:szCs w:val="16"/>
                <w:lang w:eastAsia="it-IT"/>
                <w14:ligatures w14:val="none"/>
              </w:rPr>
              <w:t>gs. 36/2023.</w:t>
            </w:r>
          </w:p>
        </w:tc>
      </w:tr>
    </w:tbl>
    <w:p w14:paraId="1B2EC176" w14:textId="77777777" w:rsidR="00B26DC1" w:rsidRPr="00B26DC1" w:rsidRDefault="00B26DC1" w:rsidP="00B26DC1">
      <w:pPr>
        <w:spacing w:after="0" w:line="240" w:lineRule="auto"/>
        <w:rPr>
          <w:rFonts w:ascii="Times New Roman" w:eastAsia="Times New Roman" w:hAnsi="Times New Roman" w:cs="Times New Roman"/>
          <w:kern w:val="0"/>
          <w:sz w:val="24"/>
          <w:szCs w:val="24"/>
          <w:lang w:eastAsia="it-IT"/>
          <w14:ligatures w14:val="none"/>
        </w:rPr>
      </w:pPr>
    </w:p>
    <w:p w14:paraId="6BC0833D" w14:textId="77777777" w:rsidR="00B26DC1" w:rsidRPr="00B26DC1" w:rsidRDefault="00B26DC1" w:rsidP="00B26DC1">
      <w:pPr>
        <w:spacing w:before="136" w:after="0" w:line="240" w:lineRule="auto"/>
        <w:jc w:val="both"/>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color w:val="000000"/>
          <w:kern w:val="0"/>
          <w:lang w:eastAsia="it-IT"/>
          <w14:ligatures w14:val="none"/>
        </w:rPr>
        <w:t>La stipula dei contratti sottosoglia avviene secondo le modalità di cui all’art. 18 del Codice. Per</w:t>
      </w:r>
      <w:hyperlink r:id="rId10" w:history="1">
        <w:r w:rsidRPr="00B26DC1">
          <w:rPr>
            <w:rFonts w:ascii="Palatino Linotype" w:eastAsia="Times New Roman" w:hAnsi="Palatino Linotype" w:cs="Times New Roman"/>
            <w:color w:val="000000"/>
            <w:kern w:val="0"/>
            <w:u w:val="single"/>
            <w:lang w:eastAsia="it-IT"/>
            <w14:ligatures w14:val="none"/>
          </w:rPr>
          <w:t xml:space="preserve"> l'imposta di bollo in materia di contratti pubblici</w:t>
        </w:r>
      </w:hyperlink>
      <w:r w:rsidRPr="00B26DC1">
        <w:rPr>
          <w:rFonts w:ascii="Palatino Linotype" w:eastAsia="Times New Roman" w:hAnsi="Palatino Linotype" w:cs="Times New Roman"/>
          <w:color w:val="000000"/>
          <w:kern w:val="0"/>
          <w:lang w:eastAsia="it-IT"/>
          <w14:ligatures w14:val="none"/>
        </w:rPr>
        <w:t xml:space="preserve"> si rinvia alla disciplina applicabile.</w:t>
      </w:r>
    </w:p>
    <w:p w14:paraId="53779DEA" w14:textId="6B1E30EB" w:rsidR="00B26DC1" w:rsidRPr="00B26DC1" w:rsidRDefault="00B26DC1" w:rsidP="00B26DC1">
      <w:pPr>
        <w:spacing w:before="137" w:after="0" w:line="240" w:lineRule="auto"/>
        <w:jc w:val="center"/>
        <w:rPr>
          <w:rFonts w:ascii="Times New Roman" w:eastAsia="Times New Roman" w:hAnsi="Times New Roman" w:cs="Times New Roman"/>
          <w:kern w:val="0"/>
          <w:sz w:val="24"/>
          <w:szCs w:val="24"/>
          <w:lang w:eastAsia="it-IT"/>
          <w14:ligatures w14:val="none"/>
        </w:rPr>
      </w:pPr>
      <w:r w:rsidRPr="00B26DC1">
        <w:rPr>
          <w:rFonts w:ascii="Palatino Linotype" w:eastAsia="Times New Roman" w:hAnsi="Palatino Linotype" w:cs="Times New Roman"/>
          <w:b/>
          <w:bCs/>
          <w:color w:val="000000"/>
          <w:kern w:val="0"/>
          <w:lang w:eastAsia="it-IT"/>
          <w14:ligatures w14:val="none"/>
        </w:rPr>
        <w:t xml:space="preserve">Art. </w:t>
      </w:r>
      <w:r w:rsidR="006D43BE">
        <w:rPr>
          <w:rFonts w:ascii="Palatino Linotype" w:eastAsia="Times New Roman" w:hAnsi="Palatino Linotype" w:cs="Times New Roman"/>
          <w:b/>
          <w:bCs/>
          <w:color w:val="000000"/>
          <w:kern w:val="0"/>
          <w:lang w:eastAsia="it-IT"/>
          <w14:ligatures w14:val="none"/>
        </w:rPr>
        <w:t>8</w:t>
      </w:r>
      <w:r w:rsidRPr="00B26DC1">
        <w:rPr>
          <w:rFonts w:ascii="Palatino Linotype" w:eastAsia="Times New Roman" w:hAnsi="Palatino Linotype" w:cs="Times New Roman"/>
          <w:b/>
          <w:bCs/>
          <w:color w:val="000000"/>
          <w:kern w:val="0"/>
          <w:lang w:eastAsia="it-IT"/>
          <w14:ligatures w14:val="none"/>
        </w:rPr>
        <w:t xml:space="preserve"> - Disposizioni finali </w:t>
      </w:r>
    </w:p>
    <w:p w14:paraId="2EF2036F" w14:textId="77777777" w:rsidR="00B26DC1" w:rsidRPr="00B26DC1" w:rsidRDefault="00B26DC1" w:rsidP="00B26DC1">
      <w:pPr>
        <w:spacing w:after="0" w:line="240" w:lineRule="auto"/>
        <w:jc w:val="both"/>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color w:val="000000"/>
          <w:kern w:val="0"/>
          <w:lang w:eastAsia="it-IT"/>
          <w14:ligatures w14:val="none"/>
        </w:rPr>
        <w:t xml:space="preserve">Il presente Regolamento non si applica ai contratti esclusi dall’ambito di applicazione del Codice, ai contratti attivi e ai contratti a titolo gratuito, oltre agli affidamenti in modalità </w:t>
      </w:r>
      <w:r w:rsidRPr="00B26DC1">
        <w:rPr>
          <w:rFonts w:ascii="Palatino Linotype" w:eastAsia="Times New Roman" w:hAnsi="Palatino Linotype" w:cs="Times New Roman"/>
          <w:i/>
          <w:iCs/>
          <w:color w:val="000000"/>
          <w:kern w:val="0"/>
          <w:lang w:eastAsia="it-IT"/>
          <w14:ligatures w14:val="none"/>
        </w:rPr>
        <w:t>in house providing</w:t>
      </w:r>
      <w:r w:rsidRPr="00B26DC1">
        <w:rPr>
          <w:rFonts w:ascii="Palatino Linotype" w:eastAsia="Times New Roman" w:hAnsi="Palatino Linotype" w:cs="Times New Roman"/>
          <w:color w:val="000000"/>
          <w:kern w:val="0"/>
          <w:lang w:eastAsia="it-IT"/>
          <w14:ligatures w14:val="none"/>
        </w:rPr>
        <w:t>.</w:t>
      </w:r>
    </w:p>
    <w:p w14:paraId="157A829B" w14:textId="77777777" w:rsidR="00B26DC1" w:rsidRPr="00B26DC1" w:rsidRDefault="00B26DC1" w:rsidP="00B26DC1">
      <w:pPr>
        <w:spacing w:after="0" w:line="240" w:lineRule="auto"/>
        <w:jc w:val="both"/>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color w:val="000000"/>
          <w:kern w:val="0"/>
          <w:lang w:eastAsia="it-IT"/>
          <w14:ligatures w14:val="none"/>
        </w:rPr>
        <w:t>Sono fatte salve le minute spese disciplinate da appositi regolamenti per il funzionamento dei fondi economali. </w:t>
      </w:r>
    </w:p>
    <w:p w14:paraId="17F14083" w14:textId="77777777" w:rsidR="00B26DC1" w:rsidRPr="00B26DC1" w:rsidRDefault="00B26DC1" w:rsidP="00B26DC1">
      <w:pPr>
        <w:spacing w:after="0" w:line="240" w:lineRule="auto"/>
        <w:jc w:val="both"/>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color w:val="000000"/>
          <w:kern w:val="0"/>
          <w:lang w:eastAsia="it-IT"/>
          <w14:ligatures w14:val="none"/>
        </w:rPr>
        <w:t>Restano fermi gli obblighi di utilizzo di strumenti di acquisto (di cui all’Allegato I.1 articolo 3, comma 1, lett. cc) del Codice) e di negoziazione (di cui all’Allegato I.1 articolo 3, comma 1, lett. dd) del Codice), anche telematici e sulla centralizzazione e aggregazione della committenza (art. 62). Restano ferme, altresì, le disposizioni di cui all’articolo 1, comma 450, della legge 27 dicembre 2006, n. 296.</w:t>
      </w:r>
    </w:p>
    <w:p w14:paraId="1D44B104" w14:textId="77777777" w:rsidR="00B26DC1" w:rsidRPr="00B26DC1" w:rsidRDefault="00B26DC1" w:rsidP="00B26DC1">
      <w:pPr>
        <w:spacing w:after="0" w:line="240" w:lineRule="auto"/>
        <w:jc w:val="both"/>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color w:val="000000"/>
          <w:kern w:val="0"/>
          <w:lang w:eastAsia="it-IT"/>
          <w14:ligatures w14:val="none"/>
        </w:rPr>
        <w:t>Formano parte integrante e sostanziale del presente regolamento e si intendono richiamate nelle procedure di acquisto effettuate in base allo stesso, le disposizioni del Piano triennale di prevenzione della corruzione e del Codice di comportamento adottati in osservanza della legge n. 190/2012, nel testo vigente, nonché degli altri provvedimenti adottati in materia.</w:t>
      </w:r>
    </w:p>
    <w:p w14:paraId="6F47AE9B" w14:textId="77F1CE90" w:rsidR="00B26DC1" w:rsidRPr="00B26DC1" w:rsidRDefault="00B26DC1" w:rsidP="00B26DC1">
      <w:pPr>
        <w:spacing w:after="0" w:line="240" w:lineRule="auto"/>
        <w:jc w:val="both"/>
        <w:outlineLvl w:val="2"/>
        <w:rPr>
          <w:rFonts w:ascii="Times New Roman" w:eastAsia="Times New Roman" w:hAnsi="Times New Roman" w:cs="Times New Roman"/>
          <w:b/>
          <w:bCs/>
          <w:kern w:val="0"/>
          <w:sz w:val="27"/>
          <w:szCs w:val="27"/>
          <w:lang w:eastAsia="it-IT"/>
          <w14:ligatures w14:val="none"/>
        </w:rPr>
      </w:pPr>
      <w:r w:rsidRPr="00B26DC1">
        <w:rPr>
          <w:rFonts w:ascii="Palatino Linotype" w:eastAsia="Times New Roman" w:hAnsi="Palatino Linotype" w:cs="Times New Roman"/>
          <w:color w:val="000000"/>
          <w:kern w:val="0"/>
          <w:lang w:eastAsia="it-IT"/>
          <w14:ligatures w14:val="none"/>
        </w:rPr>
        <w:t>Per quanto non previsto nel presente Regolamento si fa integrale rinvio alla normativa di legge e regolamentare statale, nonché alla normativa regionale applicabile, le cui modifiche e integrazioni che dovessero intervenire prevalgono automaticamente senza necessità di apposito recepimento.</w:t>
      </w:r>
    </w:p>
    <w:p w14:paraId="54E23238" w14:textId="77777777" w:rsidR="009D14AD" w:rsidRDefault="009D14AD"/>
    <w:sectPr w:rsidR="009D14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06D34"/>
    <w:multiLevelType w:val="multilevel"/>
    <w:tmpl w:val="6832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C08D5"/>
    <w:multiLevelType w:val="multilevel"/>
    <w:tmpl w:val="F848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E61E6"/>
    <w:multiLevelType w:val="multilevel"/>
    <w:tmpl w:val="EFA2A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045359"/>
    <w:multiLevelType w:val="multilevel"/>
    <w:tmpl w:val="9D28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134A34"/>
    <w:multiLevelType w:val="multilevel"/>
    <w:tmpl w:val="EB14F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568747">
    <w:abstractNumId w:val="4"/>
    <w:lvlOverride w:ilvl="0">
      <w:lvl w:ilvl="0">
        <w:numFmt w:val="lowerLetter"/>
        <w:lvlText w:val="%1."/>
        <w:lvlJc w:val="left"/>
      </w:lvl>
    </w:lvlOverride>
  </w:num>
  <w:num w:numId="2" w16cid:durableId="1300114777">
    <w:abstractNumId w:val="4"/>
    <w:lvlOverride w:ilvl="0">
      <w:lvl w:ilvl="0">
        <w:numFmt w:val="lowerLetter"/>
        <w:lvlText w:val="%1."/>
        <w:lvlJc w:val="left"/>
      </w:lvl>
    </w:lvlOverride>
  </w:num>
  <w:num w:numId="3" w16cid:durableId="1167017771">
    <w:abstractNumId w:val="4"/>
    <w:lvlOverride w:ilvl="0">
      <w:lvl w:ilvl="0">
        <w:numFmt w:val="lowerLetter"/>
        <w:lvlText w:val="%1."/>
        <w:lvlJc w:val="left"/>
      </w:lvl>
    </w:lvlOverride>
  </w:num>
  <w:num w:numId="4" w16cid:durableId="1876693823">
    <w:abstractNumId w:val="2"/>
    <w:lvlOverride w:ilvl="0">
      <w:lvl w:ilvl="0">
        <w:numFmt w:val="lowerLetter"/>
        <w:lvlText w:val="%1."/>
        <w:lvlJc w:val="left"/>
      </w:lvl>
    </w:lvlOverride>
  </w:num>
  <w:num w:numId="5" w16cid:durableId="164365268">
    <w:abstractNumId w:val="2"/>
    <w:lvlOverride w:ilvl="0">
      <w:lvl w:ilvl="0">
        <w:numFmt w:val="lowerLetter"/>
        <w:lvlText w:val="%1."/>
        <w:lvlJc w:val="left"/>
      </w:lvl>
    </w:lvlOverride>
  </w:num>
  <w:num w:numId="6" w16cid:durableId="57215984">
    <w:abstractNumId w:val="2"/>
    <w:lvlOverride w:ilvl="0">
      <w:lvl w:ilvl="0">
        <w:numFmt w:val="lowerLetter"/>
        <w:lvlText w:val="%1."/>
        <w:lvlJc w:val="left"/>
      </w:lvl>
    </w:lvlOverride>
  </w:num>
  <w:num w:numId="7" w16cid:durableId="797340003">
    <w:abstractNumId w:val="2"/>
    <w:lvlOverride w:ilvl="0">
      <w:lvl w:ilvl="0">
        <w:numFmt w:val="lowerLetter"/>
        <w:lvlText w:val="%1."/>
        <w:lvlJc w:val="left"/>
      </w:lvl>
    </w:lvlOverride>
  </w:num>
  <w:num w:numId="8" w16cid:durableId="1972595842">
    <w:abstractNumId w:val="2"/>
    <w:lvlOverride w:ilvl="0">
      <w:lvl w:ilvl="0">
        <w:numFmt w:val="lowerLetter"/>
        <w:lvlText w:val="%1."/>
        <w:lvlJc w:val="left"/>
      </w:lvl>
    </w:lvlOverride>
  </w:num>
  <w:num w:numId="9" w16cid:durableId="951127823">
    <w:abstractNumId w:val="0"/>
  </w:num>
  <w:num w:numId="10" w16cid:durableId="2051879646">
    <w:abstractNumId w:val="3"/>
  </w:num>
  <w:num w:numId="11" w16cid:durableId="149475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C1"/>
    <w:rsid w:val="000B4434"/>
    <w:rsid w:val="00153FFB"/>
    <w:rsid w:val="003C6855"/>
    <w:rsid w:val="00524DFC"/>
    <w:rsid w:val="005C2EEA"/>
    <w:rsid w:val="006D43BE"/>
    <w:rsid w:val="00866E87"/>
    <w:rsid w:val="009D14AD"/>
    <w:rsid w:val="00B13030"/>
    <w:rsid w:val="00B26DC1"/>
    <w:rsid w:val="00B65A41"/>
    <w:rsid w:val="00D919CA"/>
    <w:rsid w:val="00EF3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D172"/>
  <w15:chartTrackingRefBased/>
  <w15:docId w15:val="{A4C8CCA5-043B-4B7F-9087-83B04D00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6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26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26DC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6DC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6DC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26D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6D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6D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6D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6D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26D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26DC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6DC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26DC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26D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6D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6D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6D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6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6D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6D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6D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6D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6DC1"/>
    <w:rPr>
      <w:i/>
      <w:iCs/>
      <w:color w:val="404040" w:themeColor="text1" w:themeTint="BF"/>
    </w:rPr>
  </w:style>
  <w:style w:type="paragraph" w:styleId="Paragrafoelenco">
    <w:name w:val="List Paragraph"/>
    <w:basedOn w:val="Normale"/>
    <w:uiPriority w:val="34"/>
    <w:qFormat/>
    <w:rsid w:val="00B26DC1"/>
    <w:pPr>
      <w:ind w:left="720"/>
      <w:contextualSpacing/>
    </w:pPr>
  </w:style>
  <w:style w:type="character" w:styleId="Enfasiintensa">
    <w:name w:val="Intense Emphasis"/>
    <w:basedOn w:val="Carpredefinitoparagrafo"/>
    <w:uiPriority w:val="21"/>
    <w:qFormat/>
    <w:rsid w:val="00B26DC1"/>
    <w:rPr>
      <w:i/>
      <w:iCs/>
      <w:color w:val="0F4761" w:themeColor="accent1" w:themeShade="BF"/>
    </w:rPr>
  </w:style>
  <w:style w:type="paragraph" w:styleId="Citazioneintensa">
    <w:name w:val="Intense Quote"/>
    <w:basedOn w:val="Normale"/>
    <w:next w:val="Normale"/>
    <w:link w:val="CitazioneintensaCarattere"/>
    <w:uiPriority w:val="30"/>
    <w:qFormat/>
    <w:rsid w:val="00B26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26DC1"/>
    <w:rPr>
      <w:i/>
      <w:iCs/>
      <w:color w:val="0F4761" w:themeColor="accent1" w:themeShade="BF"/>
    </w:rPr>
  </w:style>
  <w:style w:type="character" w:styleId="Riferimentointenso">
    <w:name w:val="Intense Reference"/>
    <w:basedOn w:val="Carpredefinitoparagrafo"/>
    <w:uiPriority w:val="32"/>
    <w:qFormat/>
    <w:rsid w:val="00B26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7832">
      <w:bodyDiv w:val="1"/>
      <w:marLeft w:val="0"/>
      <w:marRight w:val="0"/>
      <w:marTop w:val="0"/>
      <w:marBottom w:val="0"/>
      <w:divBdr>
        <w:top w:val="none" w:sz="0" w:space="0" w:color="auto"/>
        <w:left w:val="none" w:sz="0" w:space="0" w:color="auto"/>
        <w:bottom w:val="none" w:sz="0" w:space="0" w:color="auto"/>
        <w:right w:val="none" w:sz="0" w:space="0" w:color="auto"/>
      </w:divBdr>
      <w:divsChild>
        <w:div w:id="2112433633">
          <w:marLeft w:val="7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rotazione-procedura-negoziata/" TargetMode="External"/><Relationship Id="rId3" Type="http://schemas.openxmlformats.org/officeDocument/2006/relationships/settings" Target="settings.xml"/><Relationship Id="rId7" Type="http://schemas.openxmlformats.org/officeDocument/2006/relationships/hyperlink" Target="https://www.luigifadda.it/modulistica-affidamenti-diret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affidamenti-sottosoglia/"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luigifadda.it/imposta-bollo-codice-contratti/" TargetMode="External"/><Relationship Id="rId4" Type="http://schemas.openxmlformats.org/officeDocument/2006/relationships/webSettings" Target="webSettings.xml"/><Relationship Id="rId9" Type="http://schemas.openxmlformats.org/officeDocument/2006/relationships/hyperlink" Target="https://www.luigifadda.it/determina-proroga-tecnic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OOPP</dc:creator>
  <cp:keywords/>
  <dc:description/>
  <cp:lastModifiedBy>Ufficio OOPP</cp:lastModifiedBy>
  <cp:revision>12</cp:revision>
  <cp:lastPrinted>2024-04-17T06:57:00Z</cp:lastPrinted>
  <dcterms:created xsi:type="dcterms:W3CDTF">2024-02-28T13:00:00Z</dcterms:created>
  <dcterms:modified xsi:type="dcterms:W3CDTF">2024-04-17T15:50:00Z</dcterms:modified>
</cp:coreProperties>
</file>